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仿宋" w:hAnsi="仿宋" w:eastAsia="仿宋"/>
          <w:spacing w:val="42"/>
          <w:sz w:val="96"/>
          <w:szCs w:val="96"/>
        </w:rPr>
      </w:pPr>
    </w:p>
    <w:p>
      <w:pPr>
        <w:spacing w:line="360" w:lineRule="auto"/>
        <w:jc w:val="center"/>
        <w:rPr>
          <w:rFonts w:ascii="仿宋" w:hAnsi="仿宋" w:eastAsia="仿宋"/>
          <w:spacing w:val="42"/>
          <w:sz w:val="104"/>
          <w:szCs w:val="104"/>
        </w:rPr>
      </w:pPr>
      <w:r>
        <w:rPr>
          <w:rFonts w:hint="eastAsia" w:ascii="仿宋" w:hAnsi="仿宋" w:eastAsia="仿宋"/>
          <w:spacing w:val="42"/>
          <w:sz w:val="104"/>
          <w:szCs w:val="104"/>
        </w:rPr>
        <w:t>招 标 文 件</w:t>
      </w:r>
    </w:p>
    <w:p>
      <w:pPr>
        <w:spacing w:line="360" w:lineRule="auto"/>
        <w:jc w:val="both"/>
        <w:rPr>
          <w:rFonts w:ascii="仿宋" w:hAnsi="仿宋" w:eastAsia="仿宋"/>
          <w:sz w:val="24"/>
        </w:rPr>
      </w:pPr>
    </w:p>
    <w:p>
      <w:pPr>
        <w:spacing w:line="360" w:lineRule="auto"/>
        <w:jc w:val="center"/>
        <w:rPr>
          <w:rFonts w:ascii="仿宋" w:hAnsi="仿宋" w:eastAsia="仿宋"/>
          <w:sz w:val="24"/>
        </w:rPr>
      </w:pPr>
    </w:p>
    <w:p>
      <w:pPr>
        <w:spacing w:line="360" w:lineRule="auto"/>
        <w:jc w:val="center"/>
        <w:rPr>
          <w:rFonts w:ascii="仿宋" w:hAnsi="仿宋" w:eastAsia="仿宋"/>
          <w:sz w:val="24"/>
        </w:rPr>
      </w:pPr>
    </w:p>
    <w:p>
      <w:pPr>
        <w:spacing w:line="360" w:lineRule="auto"/>
        <w:rPr>
          <w:rFonts w:ascii="仿宋" w:hAnsi="仿宋" w:eastAsia="仿宋"/>
          <w:spacing w:val="20"/>
          <w:sz w:val="24"/>
        </w:rPr>
      </w:pPr>
    </w:p>
    <w:p>
      <w:pPr>
        <w:spacing w:line="360" w:lineRule="auto"/>
        <w:ind w:firstLine="551" w:firstLineChars="196"/>
        <w:rPr>
          <w:rFonts w:ascii="仿宋" w:hAnsi="仿宋" w:eastAsia="仿宋"/>
          <w:b/>
          <w:spacing w:val="20"/>
          <w:sz w:val="24"/>
        </w:rPr>
      </w:pPr>
    </w:p>
    <w:p>
      <w:pPr>
        <w:spacing w:line="480" w:lineRule="auto"/>
        <w:jc w:val="center"/>
        <w:rPr>
          <w:rFonts w:hint="eastAsia" w:ascii="仿宋" w:hAnsi="仿宋" w:eastAsia="仿宋"/>
          <w:spacing w:val="20"/>
          <w:sz w:val="52"/>
          <w:szCs w:val="52"/>
        </w:rPr>
      </w:pPr>
      <w:r>
        <w:rPr>
          <w:rFonts w:hint="eastAsia" w:ascii="仿宋" w:hAnsi="仿宋" w:eastAsia="仿宋"/>
          <w:b/>
          <w:spacing w:val="20"/>
          <w:sz w:val="52"/>
          <w:szCs w:val="52"/>
        </w:rPr>
        <w:t>项目名称</w:t>
      </w:r>
      <w:r>
        <w:rPr>
          <w:rFonts w:hint="eastAsia" w:ascii="仿宋" w:hAnsi="仿宋" w:eastAsia="仿宋"/>
          <w:spacing w:val="20"/>
          <w:sz w:val="52"/>
          <w:szCs w:val="52"/>
        </w:rPr>
        <w:t>：</w:t>
      </w:r>
    </w:p>
    <w:p>
      <w:pPr>
        <w:spacing w:line="480" w:lineRule="auto"/>
        <w:jc w:val="both"/>
        <w:rPr>
          <w:rFonts w:hint="eastAsia" w:ascii="仿宋" w:hAnsi="仿宋" w:eastAsia="仿宋"/>
          <w:spacing w:val="20"/>
          <w:sz w:val="32"/>
          <w:szCs w:val="32"/>
        </w:rPr>
      </w:pPr>
    </w:p>
    <w:p>
      <w:pPr>
        <w:spacing w:line="480" w:lineRule="auto"/>
        <w:jc w:val="center"/>
        <w:rPr>
          <w:rFonts w:hint="eastAsia" w:ascii="仿宋" w:hAnsi="仿宋" w:eastAsia="仿宋" w:cs="宋体"/>
          <w:b/>
          <w:sz w:val="32"/>
          <w:szCs w:val="32"/>
        </w:rPr>
      </w:pPr>
      <w:r>
        <w:rPr>
          <w:rFonts w:hint="eastAsia" w:ascii="仿宋" w:hAnsi="仿宋" w:eastAsia="仿宋"/>
          <w:b/>
          <w:spacing w:val="-20"/>
          <w:sz w:val="44"/>
          <w:szCs w:val="44"/>
        </w:rPr>
        <w:t>核工业成都机电学校密集柜采购项目</w:t>
      </w:r>
    </w:p>
    <w:p>
      <w:pPr>
        <w:spacing w:line="360" w:lineRule="auto"/>
        <w:ind w:firstLine="2570" w:firstLineChars="800"/>
        <w:jc w:val="both"/>
        <w:rPr>
          <w:rFonts w:hint="eastAsia" w:ascii="仿宋" w:hAnsi="仿宋" w:eastAsia="仿宋" w:cs="宋体"/>
          <w:b/>
          <w:sz w:val="32"/>
          <w:szCs w:val="32"/>
        </w:rPr>
      </w:pPr>
    </w:p>
    <w:p>
      <w:pPr>
        <w:spacing w:line="360" w:lineRule="auto"/>
        <w:ind w:firstLine="1607" w:firstLineChars="400"/>
        <w:jc w:val="both"/>
        <w:rPr>
          <w:rFonts w:ascii="仿宋" w:hAnsi="仿宋" w:eastAsia="仿宋" w:cs="宋体"/>
          <w:b/>
          <w:sz w:val="32"/>
          <w:szCs w:val="32"/>
        </w:rPr>
      </w:pPr>
      <w:r>
        <w:rPr>
          <w:rFonts w:hint="eastAsia" w:ascii="仿宋" w:hAnsi="仿宋" w:eastAsia="仿宋"/>
          <w:b/>
          <w:spacing w:val="-20"/>
          <w:sz w:val="44"/>
          <w:szCs w:val="44"/>
        </w:rPr>
        <w:t>招标人：核工业成都机电学校</w:t>
      </w:r>
    </w:p>
    <w:p>
      <w:pPr>
        <w:spacing w:line="360" w:lineRule="auto"/>
        <w:ind w:firstLine="3213" w:firstLineChars="1000"/>
        <w:jc w:val="both"/>
        <w:rPr>
          <w:rFonts w:hint="eastAsia" w:ascii="仿宋" w:hAnsi="仿宋" w:eastAsia="仿宋"/>
          <w:b/>
          <w:sz w:val="32"/>
          <w:szCs w:val="32"/>
        </w:rPr>
      </w:pPr>
    </w:p>
    <w:p>
      <w:pPr>
        <w:spacing w:line="360" w:lineRule="auto"/>
        <w:ind w:firstLine="3213" w:firstLineChars="1000"/>
        <w:jc w:val="both"/>
        <w:rPr>
          <w:rFonts w:hint="eastAsia" w:ascii="仿宋" w:hAnsi="仿宋" w:eastAsia="仿宋"/>
          <w:b/>
          <w:sz w:val="32"/>
          <w:szCs w:val="32"/>
        </w:rPr>
      </w:pPr>
    </w:p>
    <w:p>
      <w:pPr>
        <w:spacing w:line="360" w:lineRule="auto"/>
        <w:ind w:firstLine="3213" w:firstLineChars="1000"/>
        <w:jc w:val="both"/>
        <w:rPr>
          <w:rFonts w:hint="eastAsia" w:ascii="仿宋" w:hAnsi="仿宋" w:eastAsia="仿宋"/>
          <w:b/>
          <w:sz w:val="32"/>
          <w:szCs w:val="32"/>
        </w:rPr>
      </w:pPr>
    </w:p>
    <w:p>
      <w:pPr>
        <w:spacing w:line="360" w:lineRule="auto"/>
        <w:ind w:firstLine="3213" w:firstLineChars="1000"/>
        <w:jc w:val="both"/>
        <w:rPr>
          <w:rFonts w:hint="eastAsia" w:ascii="仿宋" w:hAnsi="仿宋" w:eastAsia="仿宋"/>
          <w:b/>
          <w:sz w:val="32"/>
          <w:szCs w:val="32"/>
        </w:rPr>
      </w:pPr>
    </w:p>
    <w:p>
      <w:pPr>
        <w:spacing w:line="360" w:lineRule="auto"/>
        <w:ind w:firstLine="3213" w:firstLineChars="1000"/>
        <w:jc w:val="both"/>
        <w:rPr>
          <w:rFonts w:hint="eastAsia" w:ascii="仿宋" w:hAnsi="仿宋" w:eastAsia="仿宋"/>
          <w:b/>
          <w:sz w:val="32"/>
          <w:szCs w:val="32"/>
        </w:rPr>
      </w:pPr>
    </w:p>
    <w:p>
      <w:pPr>
        <w:spacing w:line="360" w:lineRule="auto"/>
        <w:ind w:firstLine="3213" w:firstLineChars="1000"/>
        <w:jc w:val="both"/>
        <w:rPr>
          <w:rFonts w:hint="eastAsia" w:ascii="仿宋" w:hAnsi="仿宋" w:eastAsia="仿宋"/>
          <w:b/>
          <w:sz w:val="32"/>
          <w:szCs w:val="32"/>
        </w:rPr>
      </w:pPr>
    </w:p>
    <w:p>
      <w:pPr>
        <w:spacing w:line="360" w:lineRule="auto"/>
        <w:ind w:firstLine="3213" w:firstLineChars="1000"/>
        <w:jc w:val="both"/>
        <w:rPr>
          <w:rFonts w:hint="eastAsia" w:ascii="仿宋" w:hAnsi="仿宋" w:eastAsia="仿宋"/>
          <w:b/>
          <w:sz w:val="32"/>
          <w:szCs w:val="32"/>
        </w:rPr>
      </w:pPr>
    </w:p>
    <w:p>
      <w:pPr>
        <w:bidi w:val="0"/>
        <w:spacing w:line="360" w:lineRule="auto"/>
        <w:jc w:val="center"/>
        <w:rPr>
          <w:rFonts w:hint="eastAsia" w:ascii="仿宋" w:hAnsi="仿宋" w:eastAsia="仿宋"/>
          <w:b/>
          <w:sz w:val="32"/>
          <w:szCs w:val="32"/>
        </w:rPr>
      </w:pPr>
      <w:r>
        <w:rPr>
          <w:rFonts w:hint="eastAsia" w:ascii="仿宋" w:hAnsi="仿宋" w:eastAsia="仿宋"/>
          <w:b/>
          <w:sz w:val="32"/>
          <w:szCs w:val="32"/>
        </w:rPr>
        <w:t>二〇一九年</w:t>
      </w:r>
      <w:r>
        <w:rPr>
          <w:rFonts w:hint="eastAsia" w:ascii="仿宋" w:hAnsi="仿宋" w:eastAsia="仿宋"/>
          <w:b/>
          <w:sz w:val="32"/>
          <w:szCs w:val="32"/>
          <w:lang w:eastAsia="zh-CN"/>
        </w:rPr>
        <w:t>十</w:t>
      </w:r>
      <w:r>
        <w:rPr>
          <w:rFonts w:hint="eastAsia" w:ascii="仿宋" w:hAnsi="仿宋" w:eastAsia="仿宋"/>
          <w:b/>
          <w:sz w:val="32"/>
          <w:szCs w:val="32"/>
        </w:rPr>
        <w:t>月</w:t>
      </w:r>
    </w:p>
    <w:p>
      <w:pPr>
        <w:bidi w:val="0"/>
        <w:spacing w:line="360" w:lineRule="auto"/>
        <w:jc w:val="center"/>
        <w:rPr>
          <w:rFonts w:hint="eastAsia" w:ascii="仿宋" w:hAnsi="仿宋" w:eastAsia="仿宋"/>
          <w:b/>
          <w:sz w:val="32"/>
          <w:szCs w:val="32"/>
        </w:rPr>
      </w:pPr>
      <w:r>
        <w:rPr>
          <w:rFonts w:hint="eastAsia" w:ascii="仿宋" w:hAnsi="仿宋" w:eastAsia="仿宋"/>
          <w:b/>
          <w:sz w:val="32"/>
          <w:szCs w:val="32"/>
        </w:rPr>
        <w:br w:type="page"/>
      </w:r>
    </w:p>
    <w:p>
      <w:pPr>
        <w:spacing w:before="0" w:beforeLines="0" w:after="0" w:afterLines="0" w:line="240" w:lineRule="auto"/>
        <w:ind w:left="0" w:leftChars="0" w:right="0" w:rightChars="0" w:firstLine="0" w:firstLineChars="0"/>
        <w:jc w:val="center"/>
        <w:rPr>
          <w:sz w:val="48"/>
          <w:szCs w:val="48"/>
        </w:rPr>
      </w:pPr>
      <w:bookmarkStart w:id="0" w:name="_Toc29536_WPSOffice_Type1"/>
      <w:r>
        <w:rPr>
          <w:rFonts w:ascii="宋体" w:hAnsi="宋体" w:eastAsia="宋体"/>
          <w:sz w:val="40"/>
          <w:szCs w:val="48"/>
        </w:rPr>
        <w:t>目录</w:t>
      </w:r>
    </w:p>
    <w:p>
      <w:pPr>
        <w:pStyle w:val="8"/>
        <w:tabs>
          <w:tab w:val="right" w:leader="dot" w:pos="8647"/>
        </w:tabs>
      </w:pPr>
      <w:r>
        <w:fldChar w:fldCharType="begin"/>
      </w:r>
      <w:r>
        <w:instrText xml:space="preserve"> HYPERLINK \l _Toc31597_WPSOffice_Level1 </w:instrText>
      </w:r>
      <w:r>
        <w:fldChar w:fldCharType="separate"/>
      </w:r>
      <w:r>
        <w:rPr>
          <w:rFonts w:hint="eastAsia" w:ascii="宋体" w:hAnsi="宋体" w:eastAsia="宋体"/>
        </w:rPr>
        <w:t>第一章 投标邀请函</w:t>
      </w:r>
      <w:r>
        <w:tab/>
      </w:r>
      <w:bookmarkStart w:id="1" w:name="_Toc31597_WPSOffice_Level1Page"/>
      <w:r>
        <w:t>3</w:t>
      </w:r>
      <w:bookmarkEnd w:id="1"/>
      <w:r>
        <w:fldChar w:fldCharType="end"/>
      </w:r>
    </w:p>
    <w:p>
      <w:pPr>
        <w:pStyle w:val="8"/>
        <w:tabs>
          <w:tab w:val="right" w:leader="dot" w:pos="8647"/>
        </w:tabs>
      </w:pPr>
      <w:r>
        <w:fldChar w:fldCharType="begin"/>
      </w:r>
      <w:r>
        <w:instrText xml:space="preserve"> HYPERLINK \l _Toc15533_WPSOffice_Level1 </w:instrText>
      </w:r>
      <w:r>
        <w:fldChar w:fldCharType="separate"/>
      </w:r>
      <w:r>
        <w:rPr>
          <w:rFonts w:hint="eastAsia" w:ascii="宋体" w:hAnsi="宋体" w:eastAsia="宋体"/>
        </w:rPr>
        <w:t>第二章  投标人须知</w:t>
      </w:r>
      <w:r>
        <w:tab/>
      </w:r>
      <w:bookmarkStart w:id="2" w:name="_Toc15533_WPSOffice_Level1Page"/>
      <w:r>
        <w:t>5</w:t>
      </w:r>
      <w:bookmarkEnd w:id="2"/>
      <w:r>
        <w:fldChar w:fldCharType="end"/>
      </w:r>
    </w:p>
    <w:p>
      <w:pPr>
        <w:pStyle w:val="8"/>
        <w:tabs>
          <w:tab w:val="right" w:leader="dot" w:pos="8647"/>
        </w:tabs>
      </w:pPr>
      <w:r>
        <w:fldChar w:fldCharType="begin"/>
      </w:r>
      <w:r>
        <w:instrText xml:space="preserve"> HYPERLINK \l _Toc3872_WPSOffice_Level1 </w:instrText>
      </w:r>
      <w:r>
        <w:fldChar w:fldCharType="separate"/>
      </w:r>
      <w:r>
        <w:rPr>
          <w:rFonts w:hint="eastAsia" w:ascii="宋体" w:hAnsi="宋体" w:eastAsia="宋体"/>
        </w:rPr>
        <w:t>第三章 项目要求</w:t>
      </w:r>
      <w:r>
        <w:tab/>
      </w:r>
      <w:bookmarkStart w:id="3" w:name="_Toc3872_WPSOffice_Level1Page"/>
      <w:r>
        <w:t>8</w:t>
      </w:r>
      <w:bookmarkEnd w:id="3"/>
      <w:r>
        <w:fldChar w:fldCharType="end"/>
      </w:r>
      <w:bookmarkEnd w:id="0"/>
    </w:p>
    <w:p>
      <w:pPr>
        <w:rPr>
          <w:rFonts w:hint="eastAsia"/>
        </w:rPr>
        <w:sectPr>
          <w:headerReference r:id="rId3" w:type="default"/>
          <w:footerReference r:id="rId5" w:type="default"/>
          <w:headerReference r:id="rId4" w:type="even"/>
          <w:pgSz w:w="11906" w:h="16838"/>
          <w:pgMar w:top="1440" w:right="1558" w:bottom="1440" w:left="1701" w:header="851" w:footer="992" w:gutter="0"/>
          <w:cols w:space="720" w:num="1"/>
          <w:titlePg/>
          <w:docGrid w:type="lines" w:linePitch="312" w:charSpace="0"/>
        </w:sectPr>
      </w:pPr>
    </w:p>
    <w:p>
      <w:pPr>
        <w:bidi w:val="0"/>
        <w:spacing w:line="360" w:lineRule="auto"/>
        <w:jc w:val="center"/>
        <w:rPr>
          <w:rFonts w:hint="eastAsia"/>
        </w:rPr>
      </w:pPr>
      <w:bookmarkStart w:id="4" w:name="_Toc17438_WPSOffice_Level1"/>
      <w:bookmarkStart w:id="5" w:name="_Toc31597_WPSOffice_Level1"/>
      <w:r>
        <w:rPr>
          <w:rFonts w:hint="eastAsia" w:ascii="宋体" w:hAnsi="宋体"/>
          <w:b/>
          <w:bCs/>
          <w:color w:val="000000"/>
          <w:kern w:val="44"/>
          <w:sz w:val="36"/>
          <w:szCs w:val="32"/>
        </w:rPr>
        <w:t>第一章 投标邀请函</w:t>
      </w:r>
      <w:bookmarkEnd w:id="4"/>
      <w:bookmarkEnd w:id="5"/>
    </w:p>
    <w:p>
      <w:pPr>
        <w:bidi w:val="0"/>
        <w:spacing w:line="360" w:lineRule="auto"/>
      </w:pPr>
      <w:r>
        <w:rPr>
          <w:rFonts w:hint="eastAsia"/>
        </w:rPr>
        <w:t>核工业成都机电学校采购档案室密集柜，拟采取邀请招标的方式采购。现将有关事项通知如下：</w:t>
      </w:r>
    </w:p>
    <w:p>
      <w:pPr>
        <w:bidi w:val="0"/>
        <w:spacing w:line="360" w:lineRule="auto"/>
        <w:rPr>
          <w:rFonts w:hint="eastAsia"/>
        </w:rPr>
      </w:pPr>
      <w:bookmarkStart w:id="6" w:name="_Toc13638_WPSOffice_Level2"/>
      <w:bookmarkStart w:id="7" w:name="_Toc11627_WPSOffice_Level2"/>
      <w:r>
        <w:rPr>
          <w:rFonts w:hint="eastAsia"/>
        </w:rPr>
        <w:t>1.1招标内容：档案室密集柜</w:t>
      </w:r>
      <w:bookmarkEnd w:id="6"/>
      <w:bookmarkEnd w:id="7"/>
    </w:p>
    <w:p>
      <w:pPr>
        <w:bidi w:val="0"/>
        <w:spacing w:line="360" w:lineRule="auto"/>
        <w:rPr>
          <w:rFonts w:hint="eastAsia"/>
        </w:rPr>
      </w:pPr>
      <w:bookmarkStart w:id="8" w:name="_Toc3783_WPSOffice_Level2"/>
      <w:bookmarkStart w:id="9" w:name="_Toc14804_WPSOffice_Level2"/>
      <w:r>
        <w:rPr>
          <w:rFonts w:hint="eastAsia"/>
        </w:rPr>
        <w:t>1.2招标预算：最高限价</w:t>
      </w:r>
      <w:r>
        <w:rPr>
          <w:rFonts w:hint="eastAsia" w:ascii="Calibri" w:eastAsia="宋体"/>
          <w:lang w:val="en-US" w:eastAsia="zh-CN"/>
        </w:rPr>
        <w:t>37.15</w:t>
      </w:r>
      <w:r>
        <w:rPr>
          <w:rFonts w:hint="eastAsia"/>
        </w:rPr>
        <w:t>万元</w:t>
      </w:r>
      <w:bookmarkEnd w:id="8"/>
      <w:bookmarkEnd w:id="9"/>
      <w:bookmarkStart w:id="10" w:name="_Toc529354582"/>
      <w:bookmarkStart w:id="11" w:name="_Toc528157317"/>
    </w:p>
    <w:p>
      <w:pPr>
        <w:bidi w:val="0"/>
        <w:spacing w:line="360" w:lineRule="auto"/>
        <w:rPr>
          <w:rFonts w:hint="eastAsia"/>
        </w:rPr>
      </w:pPr>
      <w:bookmarkStart w:id="12" w:name="_Toc16766_WPSOffice_Level2"/>
      <w:bookmarkStart w:id="13" w:name="_Toc21443_WPSOffice_Level2"/>
      <w:r>
        <w:rPr>
          <w:rFonts w:hint="eastAsia"/>
        </w:rPr>
        <w:t>1.3投标人资格要求</w:t>
      </w:r>
      <w:bookmarkEnd w:id="10"/>
      <w:bookmarkEnd w:id="11"/>
      <w:bookmarkEnd w:id="12"/>
      <w:bookmarkEnd w:id="13"/>
    </w:p>
    <w:p>
      <w:pPr>
        <w:bidi w:val="0"/>
        <w:spacing w:line="360" w:lineRule="auto"/>
        <w:rPr>
          <w:rFonts w:hint="eastAsia"/>
          <w:lang w:eastAsia="zh-CN"/>
        </w:rPr>
      </w:pPr>
      <w:r>
        <w:rPr>
          <w:rFonts w:hint="eastAsia"/>
        </w:rPr>
        <w:t>合格投标人应首先符合政府采购法第二十二条规定的基本条件</w:t>
      </w:r>
      <w:r>
        <w:rPr>
          <w:rFonts w:hint="eastAsia" w:eastAsia="宋体"/>
          <w:lang w:eastAsia="zh-CN"/>
        </w:rPr>
        <w:t>。</w:t>
      </w:r>
    </w:p>
    <w:p>
      <w:pPr>
        <w:bidi w:val="0"/>
        <w:spacing w:line="360" w:lineRule="auto"/>
        <w:rPr>
          <w:rFonts w:hint="eastAsia"/>
        </w:rPr>
      </w:pPr>
      <w:r>
        <w:rPr>
          <w:rFonts w:hint="eastAsia"/>
        </w:rPr>
        <w:t>1.3.1基本资格条件</w:t>
      </w:r>
    </w:p>
    <w:p>
      <w:pPr>
        <w:bidi w:val="0"/>
        <w:spacing w:line="360" w:lineRule="auto"/>
        <w:rPr>
          <w:rFonts w:hint="eastAsia"/>
        </w:rPr>
      </w:pPr>
      <w:r>
        <w:rPr>
          <w:rFonts w:hint="eastAsia"/>
        </w:rPr>
        <w:t>1）在中华人民共和国境内注册，具有独立法人资格的</w:t>
      </w:r>
      <w:r>
        <w:rPr>
          <w:rFonts w:hint="eastAsia" w:eastAsia="宋体"/>
          <w:lang w:eastAsia="zh-CN"/>
        </w:rPr>
        <w:t>生产</w:t>
      </w:r>
      <w:r>
        <w:rPr>
          <w:rFonts w:hint="eastAsia"/>
        </w:rPr>
        <w:t>商或供应商;</w:t>
      </w:r>
    </w:p>
    <w:p>
      <w:pPr>
        <w:bidi w:val="0"/>
        <w:spacing w:line="360" w:lineRule="auto"/>
        <w:rPr>
          <w:rFonts w:hint="eastAsia"/>
        </w:rPr>
      </w:pPr>
      <w:r>
        <w:rPr>
          <w:rFonts w:hint="eastAsia"/>
        </w:rPr>
        <w:t>2）遵守中华人民共和国相关法律、法规规定；</w:t>
      </w:r>
    </w:p>
    <w:p>
      <w:pPr>
        <w:bidi w:val="0"/>
        <w:spacing w:line="360" w:lineRule="auto"/>
        <w:rPr>
          <w:rFonts w:hint="eastAsia"/>
        </w:rPr>
      </w:pPr>
      <w:r>
        <w:rPr>
          <w:rFonts w:hint="eastAsia"/>
        </w:rPr>
        <w:t>3）投标人必须具有履行合同及具备供货保障能力；</w:t>
      </w:r>
    </w:p>
    <w:p>
      <w:pPr>
        <w:bidi w:val="0"/>
        <w:spacing w:line="360" w:lineRule="auto"/>
        <w:rPr>
          <w:rFonts w:hint="eastAsia"/>
        </w:rPr>
      </w:pPr>
      <w:r>
        <w:rPr>
          <w:rFonts w:hint="eastAsia"/>
        </w:rPr>
        <w:t>4）参加本项采购活动前两年内，在经营活动中无严重违法记录；</w:t>
      </w:r>
    </w:p>
    <w:p>
      <w:pPr>
        <w:bidi w:val="0"/>
        <w:spacing w:line="360" w:lineRule="auto"/>
        <w:rPr>
          <w:rFonts w:hint="eastAsia"/>
        </w:rPr>
      </w:pPr>
      <w:r>
        <w:rPr>
          <w:rFonts w:hint="eastAsia"/>
        </w:rPr>
        <w:t>5）本项目不接受联合体投标；</w:t>
      </w:r>
    </w:p>
    <w:p>
      <w:pPr>
        <w:bidi w:val="0"/>
        <w:spacing w:line="360" w:lineRule="auto"/>
      </w:pPr>
      <w:bookmarkStart w:id="14" w:name="_Toc30016_WPSOffice_Level2"/>
      <w:bookmarkStart w:id="15" w:name="_Toc18181_WPSOffice_Level2"/>
      <w:r>
        <w:rPr>
          <w:rFonts w:hint="eastAsia"/>
        </w:rPr>
        <w:t>1.4招标文件获取方式：</w:t>
      </w:r>
      <w:bookmarkEnd w:id="14"/>
      <w:bookmarkEnd w:id="15"/>
    </w:p>
    <w:p>
      <w:pPr>
        <w:bidi w:val="0"/>
        <w:spacing w:line="360" w:lineRule="auto"/>
        <w:rPr>
          <w:lang w:val="zh-CN"/>
        </w:rPr>
      </w:pPr>
      <w:r>
        <w:rPr>
          <w:rFonts w:hint="eastAsia" w:ascii="Calibri"/>
          <w:lang w:val="zh-CN"/>
        </w:rPr>
        <w:t>本次招标项目采取邀请招标的方式，被</w:t>
      </w:r>
      <w:r>
        <w:rPr>
          <w:rFonts w:hint="eastAsia"/>
        </w:rPr>
        <w:t>邀请</w:t>
      </w:r>
      <w:r>
        <w:rPr>
          <w:rFonts w:hint="eastAsia" w:ascii="Calibri"/>
          <w:lang w:val="zh-CN"/>
        </w:rPr>
        <w:t>供应商须在2019年</w:t>
      </w:r>
      <w:r>
        <w:rPr>
          <w:rFonts w:hint="eastAsia" w:ascii="Calibri" w:eastAsia="宋体"/>
          <w:lang w:val="en-US" w:eastAsia="zh-CN"/>
        </w:rPr>
        <w:t>10</w:t>
      </w:r>
      <w:r>
        <w:rPr>
          <w:rFonts w:hint="eastAsia" w:ascii="Calibri"/>
          <w:lang w:val="zh-CN"/>
        </w:rPr>
        <w:t>月</w:t>
      </w:r>
      <w:r>
        <w:rPr>
          <w:rFonts w:hint="eastAsia" w:ascii="Calibri" w:eastAsia="宋体"/>
          <w:lang w:val="en-US" w:eastAsia="zh-CN"/>
        </w:rPr>
        <w:t>23</w:t>
      </w:r>
      <w:r>
        <w:rPr>
          <w:rFonts w:hint="eastAsia" w:ascii="Calibri"/>
          <w:lang w:val="zh-CN"/>
        </w:rPr>
        <w:t>日确认参与并获取招标文件,被</w:t>
      </w:r>
      <w:r>
        <w:rPr>
          <w:rFonts w:hint="eastAsia"/>
        </w:rPr>
        <w:t>邀请</w:t>
      </w:r>
      <w:r>
        <w:rPr>
          <w:rFonts w:hint="eastAsia" w:ascii="Calibri"/>
          <w:lang w:val="zh-CN"/>
        </w:rPr>
        <w:t>经销商可向采购人提供电子邮箱地址，以便采购人发出电子版招标文件。</w:t>
      </w:r>
    </w:p>
    <w:p>
      <w:pPr>
        <w:bidi w:val="0"/>
        <w:spacing w:line="360" w:lineRule="auto"/>
        <w:rPr>
          <w:lang w:val="zh-CN"/>
        </w:rPr>
      </w:pPr>
      <w:bookmarkStart w:id="16" w:name="_Toc17770_WPSOffice_Level2"/>
      <w:bookmarkStart w:id="17" w:name="_Toc17038_WPSOffice_Level2"/>
      <w:r>
        <w:rPr>
          <w:rFonts w:hint="eastAsia"/>
        </w:rPr>
        <w:t>1.5</w:t>
      </w:r>
      <w:r>
        <w:rPr>
          <w:rFonts w:hint="eastAsia" w:ascii="Calibri"/>
          <w:lang w:val="zh-CN"/>
        </w:rPr>
        <w:t>投标截止时间和开标时间：</w:t>
      </w:r>
      <w:bookmarkEnd w:id="16"/>
      <w:bookmarkEnd w:id="17"/>
    </w:p>
    <w:p>
      <w:pPr>
        <w:bidi w:val="0"/>
        <w:spacing w:line="360" w:lineRule="auto"/>
        <w:rPr>
          <w:rFonts w:hint="eastAsia"/>
          <w:lang w:val="zh-CN"/>
        </w:rPr>
      </w:pPr>
      <w:r>
        <w:rPr>
          <w:rFonts w:hint="eastAsia" w:ascii="Calibri"/>
          <w:lang w:val="zh-CN"/>
        </w:rPr>
        <w:t>201</w:t>
      </w:r>
      <w:r>
        <w:rPr>
          <w:rFonts w:hint="eastAsia"/>
        </w:rPr>
        <w:t>9</w:t>
      </w:r>
      <w:r>
        <w:rPr>
          <w:rFonts w:hint="eastAsia" w:ascii="Calibri"/>
          <w:lang w:val="zh-CN"/>
        </w:rPr>
        <w:t>年</w:t>
      </w:r>
      <w:r>
        <w:rPr>
          <w:rFonts w:hint="eastAsia" w:ascii="Calibri" w:eastAsia="宋体"/>
          <w:lang w:val="en-US" w:eastAsia="zh-CN"/>
        </w:rPr>
        <w:t>10</w:t>
      </w:r>
      <w:r>
        <w:rPr>
          <w:rFonts w:hint="eastAsia" w:ascii="Calibri"/>
          <w:lang w:val="zh-CN"/>
        </w:rPr>
        <w:t>月</w:t>
      </w:r>
      <w:r>
        <w:rPr>
          <w:rFonts w:hint="eastAsia" w:ascii="Calibri" w:eastAsia="宋体"/>
          <w:lang w:val="en-US" w:eastAsia="zh-CN"/>
        </w:rPr>
        <w:t>31</w:t>
      </w:r>
      <w:r>
        <w:rPr>
          <w:rFonts w:hint="eastAsia" w:ascii="Calibri"/>
          <w:lang w:val="zh-CN"/>
        </w:rPr>
        <w:t>日上午</w:t>
      </w:r>
      <w:r>
        <w:rPr>
          <w:rFonts w:hint="eastAsia" w:ascii="Calibri" w:eastAsia="宋体"/>
          <w:lang w:val="en-US" w:eastAsia="zh-CN"/>
        </w:rPr>
        <w:t>10点00分</w:t>
      </w:r>
      <w:r>
        <w:rPr>
          <w:rFonts w:hint="eastAsia" w:ascii="Calibri"/>
          <w:lang w:val="zh-CN"/>
        </w:rPr>
        <w:t>。投标文件须在开标当日投标截止时间前送达开标地点，逾期送达或不符合规定的投标文件将被拒绝。</w:t>
      </w:r>
    </w:p>
    <w:p>
      <w:pPr>
        <w:bidi w:val="0"/>
        <w:spacing w:line="360" w:lineRule="auto"/>
        <w:rPr>
          <w:lang w:val="zh-CN"/>
        </w:rPr>
      </w:pPr>
      <w:bookmarkStart w:id="18" w:name="_Toc28549_WPSOffice_Level2"/>
      <w:bookmarkStart w:id="19" w:name="_Toc15419_WPSOffice_Level2"/>
      <w:r>
        <w:rPr>
          <w:rFonts w:hint="eastAsia"/>
        </w:rPr>
        <w:t>1.6</w:t>
      </w:r>
      <w:r>
        <w:rPr>
          <w:rFonts w:hint="eastAsia" w:ascii="Calibri"/>
          <w:lang w:val="zh-CN"/>
        </w:rPr>
        <w:t>开标地点：</w:t>
      </w:r>
      <w:bookmarkEnd w:id="18"/>
      <w:bookmarkEnd w:id="19"/>
    </w:p>
    <w:p>
      <w:pPr>
        <w:bidi w:val="0"/>
        <w:spacing w:line="360" w:lineRule="auto"/>
        <w:rPr>
          <w:lang w:val="zh-CN"/>
        </w:rPr>
      </w:pPr>
      <w:r>
        <w:rPr>
          <w:rFonts w:hint="eastAsia"/>
        </w:rPr>
        <w:t>核工业成都机电学校</w:t>
      </w:r>
      <w:r>
        <w:rPr>
          <w:rFonts w:hint="eastAsia" w:ascii="Calibri"/>
          <w:lang w:val="zh-CN"/>
        </w:rPr>
        <w:t>会议室</w:t>
      </w:r>
    </w:p>
    <w:p>
      <w:pPr>
        <w:bidi w:val="0"/>
        <w:spacing w:line="360" w:lineRule="auto"/>
        <w:rPr>
          <w:lang w:val="zh-CN"/>
        </w:rPr>
      </w:pPr>
      <w:bookmarkStart w:id="20" w:name="_Toc1482_WPSOffice_Level2"/>
      <w:bookmarkStart w:id="21" w:name="_Toc19099_WPSOffice_Level2"/>
      <w:r>
        <w:rPr>
          <w:rFonts w:hint="eastAsia"/>
        </w:rPr>
        <w:t>1.7</w:t>
      </w:r>
      <w:r>
        <w:rPr>
          <w:rFonts w:hint="eastAsia" w:ascii="Calibri"/>
          <w:lang w:val="zh-CN"/>
        </w:rPr>
        <w:t>联系人及联系电话:</w:t>
      </w:r>
      <w:bookmarkEnd w:id="20"/>
      <w:bookmarkEnd w:id="21"/>
      <w:r>
        <w:rPr>
          <w:rFonts w:hint="eastAsia" w:ascii="Calibri"/>
          <w:lang w:val="zh-CN"/>
        </w:rPr>
        <w:t xml:space="preserve">  </w:t>
      </w:r>
    </w:p>
    <w:p>
      <w:pPr>
        <w:bidi w:val="0"/>
        <w:spacing w:line="360" w:lineRule="auto"/>
        <w:rPr>
          <w:rFonts w:hint="eastAsia"/>
        </w:rPr>
      </w:pPr>
      <w:r>
        <w:rPr>
          <w:rFonts w:hint="eastAsia"/>
        </w:rPr>
        <w:t>联系人: 罗老师            联系电话：  028-83906022</w:t>
      </w:r>
    </w:p>
    <w:p>
      <w:pPr>
        <w:bidi w:val="0"/>
        <w:spacing w:line="360" w:lineRule="auto"/>
        <w:jc w:val="right"/>
        <w:rPr>
          <w:rFonts w:hint="eastAsia"/>
        </w:rPr>
      </w:pPr>
      <w:r>
        <w:rPr>
          <w:rFonts w:hint="eastAsia"/>
        </w:rPr>
        <w:t xml:space="preserve"> 核工业成都机电学校                                                                              </w:t>
      </w:r>
      <w:bookmarkStart w:id="22" w:name="_Toc26903_WPSOffice_Level2"/>
      <w:r>
        <w:rPr>
          <w:rFonts w:hint="eastAsia"/>
        </w:rPr>
        <w:t xml:space="preserve">                         </w:t>
      </w:r>
      <w:r>
        <w:rPr>
          <w:rFonts w:hint="eastAsia" w:ascii="Calibri"/>
          <w:lang w:val="zh-CN"/>
        </w:rPr>
        <w:t>2019年</w:t>
      </w:r>
      <w:r>
        <w:rPr>
          <w:rFonts w:hint="eastAsia" w:ascii="Calibri" w:eastAsia="宋体"/>
          <w:lang w:val="en-US" w:eastAsia="zh-CN"/>
        </w:rPr>
        <w:t>10</w:t>
      </w:r>
      <w:r>
        <w:rPr>
          <w:rFonts w:hint="eastAsia" w:ascii="Calibri"/>
          <w:lang w:val="zh-CN"/>
        </w:rPr>
        <w:t>月</w:t>
      </w:r>
      <w:bookmarkEnd w:id="22"/>
      <w:bookmarkStart w:id="23" w:name="_Toc19197"/>
      <w:r>
        <w:rPr>
          <w:rFonts w:hint="eastAsia" w:ascii="Calibri" w:eastAsia="宋体"/>
          <w:lang w:val="en-US" w:eastAsia="zh-CN"/>
        </w:rPr>
        <w:t>22</w:t>
      </w:r>
      <w:r>
        <w:rPr>
          <w:rFonts w:hint="eastAsia"/>
        </w:rPr>
        <w:t>日</w:t>
      </w:r>
    </w:p>
    <w:p>
      <w:pPr>
        <w:bidi w:val="0"/>
        <w:spacing w:line="360" w:lineRule="auto"/>
        <w:rPr>
          <w:rFonts w:hint="eastAsia"/>
          <w:lang w:val="zh-CN"/>
        </w:rPr>
      </w:pPr>
    </w:p>
    <w:p>
      <w:pPr>
        <w:bidi w:val="0"/>
        <w:spacing w:line="360" w:lineRule="auto"/>
        <w:rPr>
          <w:rFonts w:hint="eastAsia"/>
          <w:lang w:val="zh-CN"/>
        </w:rPr>
      </w:pPr>
    </w:p>
    <w:p>
      <w:pPr>
        <w:bidi w:val="0"/>
        <w:spacing w:line="360" w:lineRule="auto"/>
        <w:ind w:firstLine="2530" w:firstLineChars="700"/>
        <w:jc w:val="both"/>
      </w:pPr>
      <w:bookmarkStart w:id="24" w:name="_Toc21254_WPSOffice_Level1"/>
      <w:bookmarkStart w:id="25" w:name="_Toc15533_WPSOffice_Level1"/>
      <w:bookmarkStart w:id="26" w:name="_Toc29080_WPSOffice_Level1"/>
      <w:r>
        <w:rPr>
          <w:rFonts w:hint="eastAsia" w:ascii="宋体" w:hAnsi="宋体"/>
          <w:b/>
          <w:bCs/>
          <w:color w:val="000000"/>
          <w:kern w:val="44"/>
          <w:sz w:val="36"/>
          <w:szCs w:val="32"/>
        </w:rPr>
        <w:t>第二章  投标人须知</w:t>
      </w:r>
      <w:bookmarkEnd w:id="23"/>
      <w:bookmarkEnd w:id="24"/>
      <w:bookmarkEnd w:id="25"/>
      <w:bookmarkEnd w:id="26"/>
    </w:p>
    <w:p>
      <w:pPr>
        <w:bidi w:val="0"/>
        <w:spacing w:line="360" w:lineRule="auto"/>
      </w:pPr>
      <w:bookmarkStart w:id="27" w:name="_Toc208311689"/>
      <w:bookmarkStart w:id="28" w:name="_Toc214858043"/>
      <w:bookmarkStart w:id="29" w:name="_Toc18073_WPSOffice_Level2"/>
      <w:bookmarkStart w:id="30" w:name="_Toc8414"/>
      <w:bookmarkStart w:id="31" w:name="_Toc17544_WPSOffice_Level2"/>
      <w:r>
        <w:rPr>
          <w:rFonts w:hint="eastAsia"/>
        </w:rPr>
        <w:t>2.1投标人须知</w:t>
      </w:r>
      <w:bookmarkEnd w:id="27"/>
      <w:bookmarkEnd w:id="28"/>
      <w:bookmarkEnd w:id="29"/>
      <w:bookmarkEnd w:id="30"/>
      <w:bookmarkEnd w:id="31"/>
    </w:p>
    <w:tbl>
      <w:tblPr>
        <w:tblStyle w:val="6"/>
        <w:tblW w:w="87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6"/>
        <w:gridCol w:w="1703"/>
        <w:gridCol w:w="61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0" w:type="dxa"/>
            <w:gridSpan w:val="2"/>
            <w:tcBorders>
              <w:top w:val="double" w:color="auto" w:sz="4" w:space="0"/>
              <w:left w:val="double" w:color="auto" w:sz="4" w:space="0"/>
              <w:bottom w:val="single" w:color="auto" w:sz="4" w:space="0"/>
              <w:right w:val="single" w:color="auto" w:sz="4" w:space="0"/>
            </w:tcBorders>
            <w:noWrap w:val="0"/>
            <w:vAlign w:val="center"/>
          </w:tcPr>
          <w:p>
            <w:pPr>
              <w:bidi w:val="0"/>
              <w:spacing w:line="360" w:lineRule="auto"/>
            </w:pPr>
            <w:r>
              <w:rPr>
                <w:rFonts w:hint="eastAsia"/>
              </w:rPr>
              <w:t>序号</w:t>
            </w:r>
          </w:p>
        </w:tc>
        <w:tc>
          <w:tcPr>
            <w:tcW w:w="1703" w:type="dxa"/>
            <w:tcBorders>
              <w:top w:val="double" w:color="auto" w:sz="4" w:space="0"/>
              <w:left w:val="single" w:color="auto" w:sz="4" w:space="0"/>
              <w:bottom w:val="single" w:color="auto" w:sz="4" w:space="0"/>
              <w:right w:val="single" w:color="auto" w:sz="4" w:space="0"/>
            </w:tcBorders>
            <w:noWrap w:val="0"/>
            <w:vAlign w:val="center"/>
          </w:tcPr>
          <w:p>
            <w:pPr>
              <w:bidi w:val="0"/>
              <w:spacing w:line="360" w:lineRule="auto"/>
            </w:pPr>
            <w:r>
              <w:rPr>
                <w:rFonts w:hint="eastAsia"/>
              </w:rPr>
              <w:t>内 容</w:t>
            </w:r>
          </w:p>
        </w:tc>
        <w:tc>
          <w:tcPr>
            <w:tcW w:w="6105" w:type="dxa"/>
            <w:tcBorders>
              <w:top w:val="double" w:color="auto" w:sz="4" w:space="0"/>
              <w:left w:val="single" w:color="auto" w:sz="4" w:space="0"/>
              <w:bottom w:val="single" w:color="auto" w:sz="4" w:space="0"/>
              <w:right w:val="double" w:color="auto" w:sz="4" w:space="0"/>
            </w:tcBorders>
            <w:noWrap w:val="0"/>
            <w:vAlign w:val="center"/>
          </w:tcPr>
          <w:p>
            <w:pPr>
              <w:bidi w:val="0"/>
              <w:spacing w:line="360" w:lineRule="auto"/>
            </w:pPr>
            <w:r>
              <w:rPr>
                <w:rFonts w:hint="eastAsia"/>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0" w:type="dxa"/>
            <w:gridSpan w:val="2"/>
            <w:tcBorders>
              <w:top w:val="single" w:color="auto" w:sz="4" w:space="0"/>
              <w:left w:val="double" w:color="auto" w:sz="4" w:space="0"/>
              <w:bottom w:val="single" w:color="auto" w:sz="4" w:space="0"/>
              <w:right w:val="single" w:color="auto" w:sz="4" w:space="0"/>
            </w:tcBorders>
            <w:noWrap w:val="0"/>
            <w:vAlign w:val="center"/>
          </w:tcPr>
          <w:p>
            <w:pPr>
              <w:bidi w:val="0"/>
              <w:spacing w:line="360" w:lineRule="auto"/>
            </w:pPr>
            <w:r>
              <w:rPr>
                <w:rFonts w:hint="eastAsia"/>
              </w:rPr>
              <w:t>1</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pPr>
            <w:r>
              <w:rPr>
                <w:rFonts w:hint="eastAsia"/>
              </w:rPr>
              <w:t>项目名称</w:t>
            </w:r>
          </w:p>
        </w:tc>
        <w:tc>
          <w:tcPr>
            <w:tcW w:w="6105" w:type="dxa"/>
            <w:tcBorders>
              <w:top w:val="single" w:color="auto" w:sz="4" w:space="0"/>
              <w:left w:val="single" w:color="auto" w:sz="4" w:space="0"/>
              <w:bottom w:val="single" w:color="auto" w:sz="4" w:space="0"/>
              <w:right w:val="double" w:color="auto" w:sz="4" w:space="0"/>
            </w:tcBorders>
            <w:noWrap w:val="0"/>
            <w:vAlign w:val="center"/>
          </w:tcPr>
          <w:p>
            <w:pPr>
              <w:bidi w:val="0"/>
              <w:spacing w:line="360" w:lineRule="auto"/>
            </w:pPr>
            <w:r>
              <w:rPr>
                <w:rFonts w:hint="eastAsia"/>
              </w:rPr>
              <w:t>核工业成都机电学校密集柜采购项目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0" w:type="dxa"/>
            <w:gridSpan w:val="2"/>
            <w:tcBorders>
              <w:top w:val="single" w:color="auto" w:sz="4" w:space="0"/>
              <w:left w:val="double" w:color="auto" w:sz="4" w:space="0"/>
              <w:bottom w:val="single" w:color="auto" w:sz="4" w:space="0"/>
              <w:right w:val="single" w:color="auto" w:sz="4" w:space="0"/>
            </w:tcBorders>
            <w:noWrap w:val="0"/>
            <w:vAlign w:val="center"/>
          </w:tcPr>
          <w:p>
            <w:pPr>
              <w:bidi w:val="0"/>
              <w:spacing w:line="360" w:lineRule="auto"/>
            </w:pPr>
            <w:r>
              <w:rPr>
                <w:rFonts w:hint="eastAsia"/>
              </w:rPr>
              <w:t>2</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pPr>
            <w:r>
              <w:rPr>
                <w:rFonts w:hint="eastAsia"/>
              </w:rPr>
              <w:t>投标文件份数</w:t>
            </w:r>
          </w:p>
        </w:tc>
        <w:tc>
          <w:tcPr>
            <w:tcW w:w="6105" w:type="dxa"/>
            <w:tcBorders>
              <w:top w:val="single" w:color="auto" w:sz="4" w:space="0"/>
              <w:left w:val="single" w:color="auto" w:sz="4" w:space="0"/>
              <w:bottom w:val="single" w:color="auto" w:sz="4" w:space="0"/>
              <w:right w:val="double" w:color="auto" w:sz="4" w:space="0"/>
            </w:tcBorders>
            <w:noWrap w:val="0"/>
            <w:vAlign w:val="center"/>
          </w:tcPr>
          <w:p>
            <w:pPr>
              <w:bidi w:val="0"/>
              <w:spacing w:line="360" w:lineRule="auto"/>
            </w:pPr>
            <w:r>
              <w:rPr>
                <w:rFonts w:hint="eastAsia"/>
              </w:rPr>
              <w:t>正本壹份，副本</w:t>
            </w:r>
            <w:r>
              <w:rPr>
                <w:rFonts w:hint="eastAsia" w:eastAsia="宋体"/>
                <w:lang w:eastAsia="zh-CN"/>
              </w:rPr>
              <w:t>壹</w:t>
            </w:r>
            <w:r>
              <w:rPr>
                <w:rFonts w:hint="eastAsia"/>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0" w:type="dxa"/>
            <w:gridSpan w:val="2"/>
            <w:tcBorders>
              <w:top w:val="single" w:color="auto" w:sz="4" w:space="0"/>
              <w:left w:val="double" w:color="auto" w:sz="4" w:space="0"/>
              <w:bottom w:val="single" w:color="auto" w:sz="4" w:space="0"/>
              <w:right w:val="single" w:color="auto" w:sz="4" w:space="0"/>
            </w:tcBorders>
            <w:noWrap w:val="0"/>
            <w:vAlign w:val="center"/>
          </w:tcPr>
          <w:p>
            <w:pPr>
              <w:bidi w:val="0"/>
              <w:spacing w:line="360" w:lineRule="auto"/>
            </w:pPr>
            <w:r>
              <w:rPr>
                <w:rFonts w:hint="eastAsia"/>
              </w:rPr>
              <w:t>3</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pPr>
            <w:r>
              <w:rPr>
                <w:rFonts w:hint="eastAsia"/>
              </w:rPr>
              <w:t>开标时间</w:t>
            </w:r>
          </w:p>
        </w:tc>
        <w:tc>
          <w:tcPr>
            <w:tcW w:w="6105" w:type="dxa"/>
            <w:tcBorders>
              <w:top w:val="single" w:color="auto" w:sz="4" w:space="0"/>
              <w:left w:val="single" w:color="auto" w:sz="4" w:space="0"/>
              <w:bottom w:val="single" w:color="auto" w:sz="4" w:space="0"/>
              <w:right w:val="double" w:color="auto" w:sz="4" w:space="0"/>
            </w:tcBorders>
            <w:noWrap w:val="0"/>
            <w:vAlign w:val="center"/>
          </w:tcPr>
          <w:p>
            <w:pPr>
              <w:bidi w:val="0"/>
              <w:spacing w:line="360" w:lineRule="auto"/>
              <w:rPr>
                <w:rFonts w:hint="default" w:eastAsia="宋体"/>
                <w:lang w:val="en-US" w:eastAsia="zh-CN"/>
              </w:rPr>
            </w:pPr>
            <w:r>
              <w:rPr>
                <w:rFonts w:hint="eastAsia"/>
              </w:rPr>
              <w:t>2019年</w:t>
            </w:r>
            <w:r>
              <w:rPr>
                <w:rFonts w:hint="eastAsia" w:ascii="Calibri" w:eastAsia="宋体"/>
                <w:lang w:val="en-US" w:eastAsia="zh-CN"/>
              </w:rPr>
              <w:t>10</w:t>
            </w:r>
            <w:r>
              <w:rPr>
                <w:rFonts w:hint="eastAsia"/>
              </w:rPr>
              <w:t>月</w:t>
            </w:r>
            <w:r>
              <w:rPr>
                <w:rFonts w:hint="eastAsia" w:ascii="Calibri" w:eastAsia="宋体"/>
                <w:lang w:val="en-US" w:eastAsia="zh-CN"/>
              </w:rPr>
              <w:t>31</w:t>
            </w:r>
            <w:r>
              <w:rPr>
                <w:rFonts w:hint="eastAsia"/>
              </w:rPr>
              <w:t>日上午</w:t>
            </w:r>
            <w:r>
              <w:rPr>
                <w:rFonts w:hint="eastAsia" w:ascii="Calibri" w:eastAsia="宋体"/>
                <w:lang w:val="en-US" w:eastAsia="zh-CN"/>
              </w:rPr>
              <w:t>10</w:t>
            </w:r>
            <w:r>
              <w:rPr>
                <w:rFonts w:hint="eastAsia"/>
              </w:rPr>
              <w:t>:</w:t>
            </w:r>
            <w:r>
              <w:rPr>
                <w:rFonts w:hint="eastAsia" w:ascii="Calibri" w:eastAsia="宋体"/>
                <w:lang w:val="en-US" w:eastAsia="zh-CN"/>
              </w:rPr>
              <w:t>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60" w:type="dxa"/>
            <w:gridSpan w:val="2"/>
            <w:tcBorders>
              <w:top w:val="single" w:color="auto" w:sz="4" w:space="0"/>
              <w:left w:val="double" w:color="auto" w:sz="4" w:space="0"/>
              <w:bottom w:val="single" w:color="auto" w:sz="4" w:space="0"/>
              <w:right w:val="single" w:color="auto" w:sz="4" w:space="0"/>
            </w:tcBorders>
            <w:noWrap w:val="0"/>
            <w:vAlign w:val="center"/>
          </w:tcPr>
          <w:p>
            <w:pPr>
              <w:bidi w:val="0"/>
              <w:spacing w:line="360" w:lineRule="auto"/>
            </w:pPr>
            <w:r>
              <w:rPr>
                <w:rFonts w:hint="eastAsia"/>
              </w:rPr>
              <w:t>4</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pPr>
            <w:r>
              <w:rPr>
                <w:rFonts w:hint="eastAsia"/>
              </w:rPr>
              <w:t>开标及投标文件递交地点</w:t>
            </w:r>
          </w:p>
        </w:tc>
        <w:tc>
          <w:tcPr>
            <w:tcW w:w="6105" w:type="dxa"/>
            <w:tcBorders>
              <w:top w:val="single" w:color="auto" w:sz="4" w:space="0"/>
              <w:left w:val="single" w:color="auto" w:sz="4" w:space="0"/>
              <w:bottom w:val="single" w:color="auto" w:sz="4" w:space="0"/>
              <w:right w:val="double" w:color="auto" w:sz="4" w:space="0"/>
            </w:tcBorders>
            <w:noWrap w:val="0"/>
            <w:vAlign w:val="center"/>
          </w:tcPr>
          <w:p>
            <w:pPr>
              <w:bidi w:val="0"/>
              <w:spacing w:line="360" w:lineRule="auto"/>
            </w:pPr>
            <w:r>
              <w:rPr>
                <w:rFonts w:hint="eastAsia"/>
              </w:rPr>
              <w:t>核工业成都机电学校会议室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0" w:type="dxa"/>
            <w:gridSpan w:val="2"/>
            <w:tcBorders>
              <w:top w:val="single" w:color="auto" w:sz="4" w:space="0"/>
              <w:left w:val="double" w:color="auto" w:sz="4" w:space="0"/>
              <w:bottom w:val="single" w:color="auto" w:sz="4" w:space="0"/>
              <w:right w:val="single" w:color="auto" w:sz="4" w:space="0"/>
            </w:tcBorders>
            <w:noWrap w:val="0"/>
            <w:vAlign w:val="center"/>
          </w:tcPr>
          <w:p>
            <w:pPr>
              <w:bidi w:val="0"/>
              <w:spacing w:line="360" w:lineRule="auto"/>
            </w:pPr>
            <w:r>
              <w:rPr>
                <w:rFonts w:hint="eastAsia"/>
              </w:rPr>
              <w:t>5</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pPr>
            <w:r>
              <w:rPr>
                <w:rFonts w:hint="eastAsia"/>
              </w:rPr>
              <w:t>合同签订地点</w:t>
            </w:r>
          </w:p>
        </w:tc>
        <w:tc>
          <w:tcPr>
            <w:tcW w:w="6105" w:type="dxa"/>
            <w:tcBorders>
              <w:top w:val="single" w:color="auto" w:sz="4" w:space="0"/>
              <w:left w:val="single" w:color="auto" w:sz="4" w:space="0"/>
              <w:bottom w:val="single" w:color="auto" w:sz="4" w:space="0"/>
              <w:right w:val="double" w:color="auto" w:sz="4" w:space="0"/>
            </w:tcBorders>
            <w:noWrap w:val="0"/>
            <w:vAlign w:val="center"/>
          </w:tcPr>
          <w:p>
            <w:pPr>
              <w:bidi w:val="0"/>
              <w:spacing w:line="360" w:lineRule="auto"/>
            </w:pPr>
            <w:r>
              <w:rPr>
                <w:rFonts w:hint="eastAsia"/>
              </w:rPr>
              <w:t>核工业成都机电学校办公室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gridSpan w:val="2"/>
            <w:tcBorders>
              <w:top w:val="single" w:color="auto" w:sz="4" w:space="0"/>
              <w:left w:val="double" w:color="auto" w:sz="4" w:space="0"/>
              <w:bottom w:val="single" w:color="auto" w:sz="4" w:space="0"/>
              <w:right w:val="single" w:color="auto" w:sz="4" w:space="0"/>
            </w:tcBorders>
            <w:noWrap w:val="0"/>
            <w:vAlign w:val="center"/>
          </w:tcPr>
          <w:p>
            <w:pPr>
              <w:bidi w:val="0"/>
              <w:spacing w:line="360" w:lineRule="auto"/>
            </w:pPr>
            <w:r>
              <w:rPr>
                <w:rFonts w:hint="eastAsia"/>
              </w:rPr>
              <w:t>6</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pPr>
            <w:r>
              <w:t>投标保证金</w:t>
            </w:r>
          </w:p>
        </w:tc>
        <w:tc>
          <w:tcPr>
            <w:tcW w:w="6105" w:type="dxa"/>
            <w:tcBorders>
              <w:top w:val="single" w:color="auto" w:sz="4" w:space="0"/>
              <w:left w:val="single" w:color="auto" w:sz="4" w:space="0"/>
              <w:bottom w:val="single" w:color="auto" w:sz="4" w:space="0"/>
              <w:right w:val="double" w:color="auto" w:sz="4" w:space="0"/>
            </w:tcBorders>
            <w:noWrap w:val="0"/>
            <w:vAlign w:val="center"/>
          </w:tcPr>
          <w:p>
            <w:pPr>
              <w:bidi w:val="0"/>
              <w:spacing w:line="360" w:lineRule="auto"/>
              <w:rPr>
                <w:rFonts w:hint="eastAsia"/>
              </w:rPr>
            </w:pPr>
            <w:r>
              <w:rPr>
                <w:rFonts w:hint="eastAsia"/>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4" w:type="dxa"/>
            <w:tcBorders>
              <w:top w:val="single" w:color="auto" w:sz="4" w:space="0"/>
              <w:left w:val="double" w:color="auto" w:sz="4" w:space="0"/>
              <w:bottom w:val="single" w:color="auto" w:sz="4" w:space="0"/>
              <w:right w:val="single" w:color="auto" w:sz="4" w:space="0"/>
            </w:tcBorders>
            <w:noWrap w:val="0"/>
            <w:vAlign w:val="center"/>
          </w:tcPr>
          <w:p>
            <w:pPr>
              <w:bidi w:val="0"/>
              <w:spacing w:line="360" w:lineRule="auto"/>
              <w:rPr>
                <w:rFonts w:hint="eastAsia"/>
              </w:rPr>
            </w:pPr>
            <w:r>
              <w:rPr>
                <w:rFonts w:hint="eastAsia"/>
              </w:rPr>
              <w:t>7</w:t>
            </w:r>
          </w:p>
        </w:tc>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pPr>
            <w:r>
              <w:rPr>
                <w:rFonts w:hint="eastAsia"/>
              </w:rPr>
              <w:t>报价形式</w:t>
            </w:r>
          </w:p>
        </w:tc>
        <w:tc>
          <w:tcPr>
            <w:tcW w:w="6105" w:type="dxa"/>
            <w:tcBorders>
              <w:top w:val="single" w:color="auto" w:sz="4" w:space="0"/>
              <w:left w:val="single" w:color="auto" w:sz="4" w:space="0"/>
              <w:bottom w:val="single" w:color="auto" w:sz="4" w:space="0"/>
              <w:right w:val="double" w:color="auto" w:sz="4" w:space="0"/>
            </w:tcBorders>
            <w:noWrap w:val="0"/>
            <w:vAlign w:val="center"/>
          </w:tcPr>
          <w:p>
            <w:pPr>
              <w:bidi w:val="0"/>
              <w:spacing w:line="360" w:lineRule="auto"/>
            </w:pPr>
            <w:r>
              <w:rPr>
                <w:rFonts w:hint="eastAsia"/>
              </w:rPr>
              <w:t>项目整体费用包干价。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7" w:hRule="atLeast"/>
        </w:trPr>
        <w:tc>
          <w:tcPr>
            <w:tcW w:w="954" w:type="dxa"/>
            <w:tcBorders>
              <w:top w:val="single" w:color="auto" w:sz="4" w:space="0"/>
              <w:left w:val="double" w:color="auto" w:sz="4" w:space="0"/>
              <w:bottom w:val="double" w:color="auto" w:sz="4" w:space="0"/>
              <w:right w:val="single" w:color="auto" w:sz="4" w:space="0"/>
            </w:tcBorders>
            <w:noWrap w:val="0"/>
            <w:vAlign w:val="center"/>
          </w:tcPr>
          <w:p>
            <w:pPr>
              <w:bidi w:val="0"/>
              <w:spacing w:line="360" w:lineRule="auto"/>
              <w:rPr>
                <w:rFonts w:hint="eastAsia"/>
              </w:rPr>
            </w:pPr>
            <w:r>
              <w:rPr>
                <w:rFonts w:hint="eastAsia"/>
              </w:rPr>
              <w:t>8</w:t>
            </w:r>
          </w:p>
        </w:tc>
        <w:tc>
          <w:tcPr>
            <w:tcW w:w="1709" w:type="dxa"/>
            <w:gridSpan w:val="2"/>
            <w:tcBorders>
              <w:top w:val="single" w:color="auto" w:sz="4" w:space="0"/>
              <w:left w:val="single" w:color="auto" w:sz="4" w:space="0"/>
              <w:bottom w:val="double" w:color="auto" w:sz="4" w:space="0"/>
              <w:right w:val="single" w:color="auto" w:sz="4" w:space="0"/>
            </w:tcBorders>
            <w:noWrap w:val="0"/>
            <w:vAlign w:val="center"/>
          </w:tcPr>
          <w:p>
            <w:pPr>
              <w:bidi w:val="0"/>
              <w:spacing w:line="360" w:lineRule="auto"/>
            </w:pPr>
            <w:r>
              <w:rPr>
                <w:rFonts w:hint="eastAsia"/>
              </w:rPr>
              <w:t>评标方式</w:t>
            </w:r>
          </w:p>
        </w:tc>
        <w:tc>
          <w:tcPr>
            <w:tcW w:w="6105" w:type="dxa"/>
            <w:tcBorders>
              <w:top w:val="single" w:color="auto" w:sz="4" w:space="0"/>
              <w:left w:val="single" w:color="auto" w:sz="4" w:space="0"/>
              <w:bottom w:val="double" w:color="auto" w:sz="4" w:space="0"/>
              <w:right w:val="double" w:color="auto" w:sz="4" w:space="0"/>
            </w:tcBorders>
            <w:noWrap w:val="0"/>
            <w:vAlign w:val="center"/>
          </w:tcPr>
          <w:p>
            <w:pPr>
              <w:bidi w:val="0"/>
              <w:spacing w:line="360" w:lineRule="auto"/>
              <w:rPr>
                <w:rFonts w:hint="eastAsia"/>
                <w:lang w:eastAsia="zh-CN"/>
              </w:rPr>
            </w:pPr>
            <w:r>
              <w:rPr>
                <w:rFonts w:hint="eastAsia"/>
              </w:rPr>
              <w:t>本次评标采用“</w:t>
            </w:r>
            <w:r>
              <w:rPr>
                <w:rFonts w:hint="eastAsia" w:eastAsia="宋体"/>
                <w:lang w:eastAsia="zh-CN"/>
              </w:rPr>
              <w:t>综合评分</w:t>
            </w:r>
            <w:r>
              <w:rPr>
                <w:rFonts w:hint="eastAsia"/>
              </w:rPr>
              <w:t>”的方式，在满足招标文件的要求下最高分中标，如果遇到报价明显低于市场价格或者其他投标价格的时候，招标人有权要求投标人进行合理解释，评标小组会对解释的合理性进行投票表决，未超过半数则视为不能合理解释，招标人有权按照无效报价处理。</w:t>
            </w:r>
          </w:p>
        </w:tc>
      </w:tr>
    </w:tbl>
    <w:p>
      <w:pPr>
        <w:bidi w:val="0"/>
        <w:spacing w:line="360" w:lineRule="auto"/>
      </w:pPr>
    </w:p>
    <w:p>
      <w:pPr>
        <w:bidi w:val="0"/>
        <w:spacing w:line="360" w:lineRule="auto"/>
      </w:pPr>
      <w:bookmarkStart w:id="32" w:name="_Toc182040721"/>
      <w:bookmarkEnd w:id="32"/>
      <w:bookmarkStart w:id="33" w:name="_Toc182042517"/>
      <w:bookmarkEnd w:id="33"/>
      <w:bookmarkStart w:id="34" w:name="_Toc182042646"/>
      <w:bookmarkEnd w:id="34"/>
      <w:bookmarkStart w:id="35" w:name="_Toc182044538"/>
      <w:bookmarkEnd w:id="35"/>
      <w:bookmarkStart w:id="36" w:name="_Toc182649803"/>
      <w:bookmarkEnd w:id="36"/>
      <w:bookmarkStart w:id="37" w:name="_Toc182275948"/>
      <w:bookmarkEnd w:id="37"/>
      <w:bookmarkStart w:id="38" w:name="_Toc182648542"/>
      <w:bookmarkEnd w:id="38"/>
      <w:bookmarkStart w:id="39" w:name="_Toc182649131"/>
      <w:bookmarkEnd w:id="39"/>
      <w:bookmarkStart w:id="40" w:name="_Toc182649322"/>
      <w:bookmarkEnd w:id="40"/>
      <w:bookmarkStart w:id="41" w:name="_Toc182711648"/>
      <w:bookmarkEnd w:id="41"/>
      <w:bookmarkStart w:id="42" w:name="_Toc182711957"/>
      <w:bookmarkEnd w:id="42"/>
      <w:bookmarkStart w:id="43" w:name="_Toc182726169"/>
      <w:bookmarkEnd w:id="43"/>
      <w:bookmarkStart w:id="44" w:name="_Toc207708481"/>
      <w:bookmarkEnd w:id="44"/>
      <w:bookmarkStart w:id="45" w:name="_Toc207708597"/>
      <w:bookmarkEnd w:id="45"/>
      <w:bookmarkStart w:id="46" w:name="_Toc208282183"/>
      <w:bookmarkEnd w:id="46"/>
      <w:bookmarkStart w:id="47" w:name="_Toc208301648"/>
      <w:bookmarkEnd w:id="47"/>
      <w:bookmarkStart w:id="48" w:name="_Toc208311719"/>
      <w:bookmarkEnd w:id="48"/>
      <w:bookmarkStart w:id="49" w:name="_Toc182648541"/>
      <w:bookmarkEnd w:id="49"/>
      <w:bookmarkStart w:id="50" w:name="_Toc182649130"/>
      <w:bookmarkEnd w:id="50"/>
      <w:bookmarkStart w:id="51" w:name="_Toc182649321"/>
      <w:bookmarkEnd w:id="51"/>
      <w:bookmarkStart w:id="52" w:name="_Toc182649802"/>
      <w:bookmarkEnd w:id="52"/>
      <w:bookmarkStart w:id="53" w:name="_Toc182711647"/>
      <w:bookmarkEnd w:id="53"/>
      <w:bookmarkStart w:id="54" w:name="_Toc182711956"/>
      <w:bookmarkEnd w:id="54"/>
      <w:bookmarkStart w:id="55" w:name="_Toc182042516"/>
      <w:bookmarkEnd w:id="55"/>
      <w:bookmarkStart w:id="56" w:name="_Toc182040720"/>
      <w:bookmarkEnd w:id="56"/>
      <w:bookmarkStart w:id="57" w:name="_Toc182042645"/>
      <w:bookmarkEnd w:id="57"/>
      <w:bookmarkStart w:id="58" w:name="_Toc182044537"/>
      <w:bookmarkEnd w:id="58"/>
      <w:bookmarkStart w:id="59" w:name="_Toc182275947"/>
      <w:bookmarkEnd w:id="59"/>
      <w:bookmarkStart w:id="60" w:name="_Toc182726168"/>
      <w:bookmarkEnd w:id="60"/>
      <w:bookmarkStart w:id="61" w:name="_Toc207708596"/>
      <w:bookmarkEnd w:id="61"/>
      <w:bookmarkStart w:id="62" w:name="_Toc207708480"/>
      <w:bookmarkEnd w:id="62"/>
      <w:bookmarkStart w:id="63" w:name="_Toc208282182"/>
      <w:bookmarkEnd w:id="63"/>
      <w:bookmarkStart w:id="64" w:name="_Toc208301647"/>
      <w:bookmarkEnd w:id="64"/>
      <w:bookmarkStart w:id="65" w:name="_Toc208311718"/>
      <w:bookmarkEnd w:id="65"/>
      <w:bookmarkStart w:id="66" w:name="_Toc214696277"/>
      <w:bookmarkStart w:id="67" w:name="_Toc214858044"/>
      <w:bookmarkStart w:id="68" w:name="_Toc22415"/>
      <w:bookmarkStart w:id="69" w:name="_Toc20890_WPSOffice_Level2"/>
      <w:bookmarkStart w:id="70" w:name="_Toc8084_WPSOffice_Level2"/>
      <w:r>
        <w:rPr>
          <w:rFonts w:hint="eastAsia"/>
        </w:rPr>
        <w:t>2.2说明</w:t>
      </w:r>
      <w:bookmarkEnd w:id="66"/>
      <w:bookmarkEnd w:id="67"/>
      <w:bookmarkEnd w:id="68"/>
      <w:bookmarkEnd w:id="69"/>
      <w:bookmarkEnd w:id="70"/>
    </w:p>
    <w:p>
      <w:pPr>
        <w:bidi w:val="0"/>
        <w:spacing w:line="360" w:lineRule="auto"/>
      </w:pPr>
      <w:bookmarkStart w:id="71" w:name="_Toc29227"/>
      <w:bookmarkStart w:id="72" w:name="_Toc214858045"/>
      <w:bookmarkStart w:id="73" w:name="_Toc214696278"/>
      <w:r>
        <w:rPr>
          <w:rFonts w:hint="eastAsia"/>
        </w:rPr>
        <w:t>2.2.1适用范围</w:t>
      </w:r>
      <w:bookmarkEnd w:id="71"/>
      <w:bookmarkEnd w:id="72"/>
      <w:bookmarkEnd w:id="73"/>
    </w:p>
    <w:p>
      <w:pPr>
        <w:bidi w:val="0"/>
        <w:spacing w:line="360" w:lineRule="auto"/>
      </w:pPr>
      <w:r>
        <w:rPr>
          <w:rFonts w:hint="eastAsia"/>
        </w:rPr>
        <w:t>本招标文件仅适用于投标邀请中所叙述项目相关服务要求。</w:t>
      </w:r>
    </w:p>
    <w:p>
      <w:pPr>
        <w:bidi w:val="0"/>
        <w:spacing w:line="360" w:lineRule="auto"/>
      </w:pPr>
      <w:r>
        <w:rPr>
          <w:rFonts w:hint="eastAsia"/>
        </w:rPr>
        <w:t>本招标文件的解释权在采购人。</w:t>
      </w:r>
    </w:p>
    <w:p>
      <w:pPr>
        <w:bidi w:val="0"/>
        <w:spacing w:line="360" w:lineRule="auto"/>
      </w:pPr>
      <w:bookmarkStart w:id="74" w:name="_Toc214858046"/>
      <w:bookmarkStart w:id="75" w:name="_Toc28478"/>
      <w:bookmarkStart w:id="76" w:name="_Toc214696279"/>
      <w:r>
        <w:rPr>
          <w:rFonts w:hint="eastAsia"/>
        </w:rPr>
        <w:t>2.2.2定义</w:t>
      </w:r>
      <w:bookmarkEnd w:id="74"/>
      <w:bookmarkEnd w:id="75"/>
      <w:bookmarkEnd w:id="76"/>
    </w:p>
    <w:p>
      <w:pPr>
        <w:bidi w:val="0"/>
        <w:spacing w:line="360" w:lineRule="auto"/>
      </w:pPr>
      <w:r>
        <w:rPr>
          <w:rFonts w:hint="eastAsia"/>
        </w:rPr>
        <w:t>“采购人”、“招标人”系指核工业成都机电学校。</w:t>
      </w:r>
    </w:p>
    <w:p>
      <w:pPr>
        <w:bidi w:val="0"/>
        <w:spacing w:line="360" w:lineRule="auto"/>
      </w:pPr>
      <w:r>
        <w:rPr>
          <w:rFonts w:hint="eastAsia"/>
        </w:rPr>
        <w:t>“投标人”系指参与本次项目，且已经提交或者准备提交本次投标文件的被邀请单位。“投标人”系指投标人。</w:t>
      </w:r>
    </w:p>
    <w:p>
      <w:pPr>
        <w:bidi w:val="0"/>
        <w:spacing w:line="360" w:lineRule="auto"/>
      </w:pPr>
      <w:bookmarkStart w:id="77" w:name="_Toc214696280"/>
      <w:bookmarkStart w:id="78" w:name="_Toc13950"/>
      <w:bookmarkStart w:id="79" w:name="_Toc214858047"/>
    </w:p>
    <w:p>
      <w:pPr>
        <w:bidi w:val="0"/>
        <w:spacing w:line="360" w:lineRule="auto"/>
      </w:pPr>
      <w:bookmarkStart w:id="80" w:name="_Toc6843_WPSOffice_Level2"/>
      <w:bookmarkStart w:id="81" w:name="_Toc3629_WPSOffice_Level2"/>
      <w:r>
        <w:rPr>
          <w:rFonts w:hint="eastAsia"/>
        </w:rPr>
        <w:t>2.3投标</w:t>
      </w:r>
      <w:bookmarkEnd w:id="77"/>
      <w:bookmarkEnd w:id="78"/>
      <w:bookmarkEnd w:id="79"/>
      <w:bookmarkEnd w:id="80"/>
      <w:bookmarkEnd w:id="81"/>
    </w:p>
    <w:p>
      <w:pPr>
        <w:bidi w:val="0"/>
        <w:spacing w:line="360" w:lineRule="auto"/>
      </w:pPr>
      <w:bookmarkStart w:id="82" w:name="_Toc214858049"/>
      <w:bookmarkStart w:id="83" w:name="_Toc214696282"/>
      <w:bookmarkStart w:id="84" w:name="_Toc18329"/>
      <w:r>
        <w:rPr>
          <w:rFonts w:hint="eastAsia"/>
        </w:rPr>
        <w:t>2.3.1投标费用</w:t>
      </w:r>
      <w:bookmarkEnd w:id="82"/>
      <w:bookmarkEnd w:id="83"/>
      <w:bookmarkEnd w:id="84"/>
    </w:p>
    <w:p>
      <w:pPr>
        <w:bidi w:val="0"/>
        <w:spacing w:line="360" w:lineRule="auto"/>
      </w:pPr>
      <w:r>
        <w:rPr>
          <w:rFonts w:hint="eastAsia"/>
        </w:rPr>
        <w:t>无论投标结果如何，投标人自行承担与参加投标有关的所有费用。</w:t>
      </w:r>
    </w:p>
    <w:p>
      <w:pPr>
        <w:bidi w:val="0"/>
        <w:spacing w:line="360" w:lineRule="auto"/>
      </w:pPr>
      <w:bookmarkStart w:id="85" w:name="_Toc214696295"/>
      <w:bookmarkStart w:id="86" w:name="_Toc30490"/>
      <w:bookmarkStart w:id="87" w:name="_Toc214858062"/>
      <w:r>
        <w:rPr>
          <w:rFonts w:hint="eastAsia"/>
        </w:rPr>
        <w:t>2.3.2投标文件的组成</w:t>
      </w:r>
      <w:bookmarkEnd w:id="85"/>
      <w:bookmarkEnd w:id="86"/>
      <w:bookmarkEnd w:id="87"/>
    </w:p>
    <w:p>
      <w:pPr>
        <w:bidi w:val="0"/>
        <w:spacing w:line="360" w:lineRule="auto"/>
      </w:pPr>
      <w:r>
        <w:rPr>
          <w:rFonts w:hint="eastAsia"/>
        </w:rPr>
        <w:t>文件一：投标函（鲜章）</w:t>
      </w:r>
    </w:p>
    <w:p>
      <w:pPr>
        <w:bidi w:val="0"/>
        <w:spacing w:line="360" w:lineRule="auto"/>
      </w:pPr>
      <w:r>
        <w:rPr>
          <w:rFonts w:hint="eastAsia"/>
        </w:rPr>
        <w:t>文件二：开标一览表（鲜章）</w:t>
      </w:r>
    </w:p>
    <w:p>
      <w:pPr>
        <w:bidi w:val="0"/>
        <w:spacing w:line="360" w:lineRule="auto"/>
      </w:pPr>
      <w:r>
        <w:rPr>
          <w:rFonts w:hint="eastAsia"/>
        </w:rPr>
        <w:t>文件三：投标报价分项价格表（鲜章）</w:t>
      </w:r>
    </w:p>
    <w:p>
      <w:pPr>
        <w:bidi w:val="0"/>
        <w:spacing w:line="360" w:lineRule="auto"/>
      </w:pPr>
      <w:r>
        <w:rPr>
          <w:rFonts w:hint="eastAsia"/>
        </w:rPr>
        <w:t>文件四：法定代表人身份证明书（鲜章）</w:t>
      </w:r>
    </w:p>
    <w:p>
      <w:pPr>
        <w:bidi w:val="0"/>
        <w:spacing w:line="360" w:lineRule="auto"/>
      </w:pPr>
      <w:r>
        <w:rPr>
          <w:rFonts w:hint="eastAsia"/>
        </w:rPr>
        <w:t>文件五：法定代表人授权书（鲜章）</w:t>
      </w:r>
    </w:p>
    <w:p>
      <w:pPr>
        <w:bidi w:val="0"/>
        <w:spacing w:line="360" w:lineRule="auto"/>
      </w:pPr>
      <w:r>
        <w:rPr>
          <w:rFonts w:hint="eastAsia"/>
        </w:rPr>
        <w:t>文件六：项目服务和实施方案</w:t>
      </w:r>
    </w:p>
    <w:p>
      <w:pPr>
        <w:bidi w:val="0"/>
        <w:spacing w:line="360" w:lineRule="auto"/>
      </w:pPr>
      <w:r>
        <w:rPr>
          <w:rFonts w:hint="eastAsia"/>
        </w:rPr>
        <w:t>文件七：服务计划及承诺（鲜章）</w:t>
      </w:r>
    </w:p>
    <w:p>
      <w:pPr>
        <w:bidi w:val="0"/>
        <w:spacing w:line="360" w:lineRule="auto"/>
      </w:pPr>
      <w:r>
        <w:rPr>
          <w:rFonts w:hint="eastAsia"/>
        </w:rPr>
        <w:t>文件八：提供最近的财务报表</w:t>
      </w:r>
    </w:p>
    <w:p>
      <w:pPr>
        <w:bidi w:val="0"/>
        <w:spacing w:line="360" w:lineRule="auto"/>
      </w:pPr>
      <w:r>
        <w:rPr>
          <w:rFonts w:hint="eastAsia"/>
        </w:rPr>
        <w:t>文件九：提供相关的业绩表</w:t>
      </w:r>
    </w:p>
    <w:p>
      <w:pPr>
        <w:bidi w:val="0"/>
        <w:spacing w:line="360" w:lineRule="auto"/>
      </w:pPr>
      <w:r>
        <w:rPr>
          <w:rFonts w:hint="eastAsia"/>
        </w:rPr>
        <w:t>文件十：投标方资质文件复印件（鲜章）</w:t>
      </w:r>
    </w:p>
    <w:p>
      <w:pPr>
        <w:bidi w:val="0"/>
        <w:spacing w:line="360" w:lineRule="auto"/>
      </w:pPr>
      <w:r>
        <w:rPr>
          <w:rFonts w:hint="eastAsia"/>
        </w:rPr>
        <w:t>投标文件必须打印，并将所有投标的书面材料装订成册。投标文件副本可用正本的复印件，投标文件副本与正本有差异时以正本为准。</w:t>
      </w:r>
    </w:p>
    <w:p>
      <w:pPr>
        <w:bidi w:val="0"/>
        <w:spacing w:line="360" w:lineRule="auto"/>
      </w:pPr>
      <w:bookmarkStart w:id="88" w:name="_Toc15804"/>
      <w:bookmarkStart w:id="89" w:name="_Toc214858063"/>
      <w:bookmarkStart w:id="90" w:name="_Toc214696296"/>
      <w:r>
        <w:rPr>
          <w:rFonts w:hint="eastAsia"/>
        </w:rPr>
        <w:t>2.3.3投标报价</w:t>
      </w:r>
      <w:bookmarkEnd w:id="88"/>
      <w:bookmarkEnd w:id="89"/>
      <w:bookmarkEnd w:id="90"/>
    </w:p>
    <w:p>
      <w:pPr>
        <w:bidi w:val="0"/>
        <w:spacing w:line="360" w:lineRule="auto"/>
      </w:pPr>
      <w:r>
        <w:rPr>
          <w:rFonts w:hint="eastAsia"/>
        </w:rPr>
        <w:t>投标报价一律以人民币币种报价。采购人不接受任何非人民币币种的投标报价。</w:t>
      </w:r>
    </w:p>
    <w:p>
      <w:pPr>
        <w:bidi w:val="0"/>
        <w:spacing w:line="360" w:lineRule="auto"/>
      </w:pPr>
      <w:r>
        <w:rPr>
          <w:rFonts w:hint="eastAsia"/>
        </w:rPr>
        <w:t>投标人应对所有货物及服务内容进行报价，不得遗漏。</w:t>
      </w:r>
    </w:p>
    <w:p>
      <w:pPr>
        <w:bidi w:val="0"/>
        <w:spacing w:line="360" w:lineRule="auto"/>
      </w:pPr>
      <w:r>
        <w:rPr>
          <w:rFonts w:hint="eastAsia"/>
        </w:rPr>
        <w:t>以可调整的价格提交的投标将被拒绝，采购人不接受可选择性的报价。</w:t>
      </w:r>
    </w:p>
    <w:p>
      <w:pPr>
        <w:bidi w:val="0"/>
        <w:spacing w:line="360" w:lineRule="auto"/>
      </w:pPr>
      <w:bookmarkStart w:id="91" w:name="_Toc214858065"/>
      <w:bookmarkStart w:id="92" w:name="_Toc214696298"/>
      <w:bookmarkStart w:id="93" w:name="_Toc24021"/>
      <w:r>
        <w:rPr>
          <w:rFonts w:hint="eastAsia"/>
        </w:rPr>
        <w:t>2.3.4投标文件的签署及规定</w:t>
      </w:r>
      <w:bookmarkEnd w:id="91"/>
      <w:bookmarkEnd w:id="92"/>
      <w:bookmarkEnd w:id="93"/>
    </w:p>
    <w:p>
      <w:pPr>
        <w:bidi w:val="0"/>
        <w:spacing w:line="360" w:lineRule="auto"/>
      </w:pPr>
      <w:r>
        <w:rPr>
          <w:rFonts w:hint="eastAsia"/>
        </w:rPr>
        <w:t>投标文件应由投标人法定代表人或经法定代表人正式授权的投标人代表在招标文件要求的地方签字或加盖公章。[注：所有要求盖公章的地方都应加盖投标人单位（法定名称）公章（鲜章），不得使用专用章（如经济合同章、投标专用章等）或下属单位印章代替。]</w:t>
      </w:r>
    </w:p>
    <w:p>
      <w:pPr>
        <w:bidi w:val="0"/>
        <w:spacing w:line="360" w:lineRule="auto"/>
      </w:pPr>
      <w:r>
        <w:rPr>
          <w:rFonts w:hint="eastAsia"/>
        </w:rPr>
        <w:t>除投标人对错处作必要修改外，投标文件中不许有加行、涂抹或改写。若有修改须由签署投标文件的人在旁边签字才有效。</w:t>
      </w:r>
    </w:p>
    <w:p>
      <w:pPr>
        <w:bidi w:val="0"/>
        <w:spacing w:line="360" w:lineRule="auto"/>
      </w:pPr>
      <w:r>
        <w:rPr>
          <w:rFonts w:hint="eastAsia"/>
        </w:rPr>
        <w:t>采购人拒绝接受以电报、电话、传真、电子邮件等形式的投标。</w:t>
      </w:r>
    </w:p>
    <w:p>
      <w:pPr>
        <w:bidi w:val="0"/>
        <w:spacing w:line="360" w:lineRule="auto"/>
      </w:pPr>
      <w:bookmarkStart w:id="94" w:name="_Toc1858"/>
      <w:bookmarkStart w:id="95" w:name="_Toc214696299"/>
      <w:bookmarkStart w:id="96" w:name="_Toc22489_WPSOffice_Level2"/>
      <w:bookmarkStart w:id="97" w:name="_Toc214858066"/>
      <w:bookmarkStart w:id="98" w:name="_Toc10334_WPSOffice_Level2"/>
      <w:r>
        <w:rPr>
          <w:rFonts w:hint="eastAsia"/>
        </w:rPr>
        <w:t>2.4投标文件的递交</w:t>
      </w:r>
      <w:bookmarkEnd w:id="94"/>
      <w:bookmarkEnd w:id="95"/>
      <w:bookmarkEnd w:id="96"/>
      <w:bookmarkEnd w:id="97"/>
      <w:bookmarkEnd w:id="98"/>
    </w:p>
    <w:p>
      <w:pPr>
        <w:bidi w:val="0"/>
        <w:spacing w:line="360" w:lineRule="auto"/>
      </w:pPr>
      <w:bookmarkStart w:id="99" w:name="_Toc31942"/>
      <w:bookmarkStart w:id="100" w:name="_Toc214696300"/>
      <w:bookmarkStart w:id="101" w:name="_Toc214858067"/>
      <w:r>
        <w:rPr>
          <w:rFonts w:hint="eastAsia"/>
        </w:rPr>
        <w:t>2.4.1投标文件的数量、密封和标记</w:t>
      </w:r>
      <w:bookmarkEnd w:id="99"/>
      <w:bookmarkEnd w:id="100"/>
      <w:bookmarkEnd w:id="101"/>
    </w:p>
    <w:p>
      <w:pPr>
        <w:bidi w:val="0"/>
        <w:spacing w:line="360" w:lineRule="auto"/>
      </w:pPr>
      <w:r>
        <w:rPr>
          <w:rFonts w:hint="eastAsia"/>
        </w:rPr>
        <w:t>投标人应提交壹份“正本”投标文件和</w:t>
      </w:r>
      <w:r>
        <w:rPr>
          <w:rFonts w:hint="eastAsia" w:eastAsia="宋体"/>
          <w:lang w:eastAsia="zh-CN"/>
        </w:rPr>
        <w:t>壹</w:t>
      </w:r>
      <w:r>
        <w:rPr>
          <w:rFonts w:hint="eastAsia"/>
        </w:rPr>
        <w:t>份“副本”投标文件，每份“投标文件”封面上应标明项目名称、投标人名称以及“正本”或“副本”字样。一旦副本与正本不符，以正本为准。</w:t>
      </w:r>
    </w:p>
    <w:p>
      <w:pPr>
        <w:bidi w:val="0"/>
        <w:spacing w:line="360" w:lineRule="auto"/>
      </w:pPr>
      <w:r>
        <w:rPr>
          <w:rFonts w:hint="eastAsia"/>
        </w:rPr>
        <w:t>投标文件“正本”、“副本”一起密封封装。</w:t>
      </w:r>
    </w:p>
    <w:p>
      <w:pPr>
        <w:bidi w:val="0"/>
        <w:spacing w:line="360" w:lineRule="auto"/>
      </w:pPr>
      <w:r>
        <w:rPr>
          <w:rFonts w:hint="eastAsia"/>
        </w:rPr>
        <w:t>为方便开标唱标，投标人应将开标一览表单独密封在开标信封内，且与投标文件分开单独密封，投标时，同时递交。</w:t>
      </w:r>
    </w:p>
    <w:p>
      <w:pPr>
        <w:bidi w:val="0"/>
        <w:spacing w:line="360" w:lineRule="auto"/>
      </w:pPr>
      <w:r>
        <w:rPr>
          <w:rFonts w:hint="eastAsia"/>
        </w:rPr>
        <w:t>投标文件应由专人送交，投标人应将投标文件按上述的规定进行密封和标记后，按招标公告中注明的地址送达开标地点。</w:t>
      </w:r>
    </w:p>
    <w:p>
      <w:pPr>
        <w:bidi w:val="0"/>
        <w:spacing w:line="360" w:lineRule="auto"/>
      </w:pPr>
      <w:r>
        <w:rPr>
          <w:rFonts w:hint="eastAsia"/>
        </w:rPr>
        <w:t>投标文件未按上述要求标记、密封的将被拒绝。</w:t>
      </w:r>
    </w:p>
    <w:p>
      <w:pPr>
        <w:bidi w:val="0"/>
        <w:spacing w:line="360" w:lineRule="auto"/>
      </w:pPr>
      <w:bookmarkStart w:id="102" w:name="_Toc214858068"/>
      <w:bookmarkStart w:id="103" w:name="_Toc214696301"/>
      <w:bookmarkStart w:id="104" w:name="_Toc23048"/>
      <w:r>
        <w:rPr>
          <w:rFonts w:hint="eastAsia"/>
        </w:rPr>
        <w:t>2.4.2递交投标文件的地点和截止时间</w:t>
      </w:r>
      <w:bookmarkEnd w:id="102"/>
      <w:bookmarkEnd w:id="103"/>
      <w:bookmarkEnd w:id="104"/>
    </w:p>
    <w:p>
      <w:pPr>
        <w:bidi w:val="0"/>
        <w:spacing w:line="360" w:lineRule="auto"/>
      </w:pPr>
      <w:r>
        <w:rPr>
          <w:rFonts w:hint="eastAsia"/>
        </w:rPr>
        <w:t>投标文件递交的地点与开标地点相同。</w:t>
      </w:r>
    </w:p>
    <w:p>
      <w:pPr>
        <w:bidi w:val="0"/>
        <w:spacing w:line="360" w:lineRule="auto"/>
      </w:pPr>
      <w:r>
        <w:rPr>
          <w:rFonts w:hint="eastAsia"/>
        </w:rPr>
        <w:t>开标时间即为递交投标文件的截止时间，投标人须在规定的截止时间之前将投标文件送达开标地点。</w:t>
      </w:r>
    </w:p>
    <w:p>
      <w:pPr>
        <w:bidi w:val="0"/>
        <w:spacing w:line="360" w:lineRule="auto"/>
      </w:pPr>
      <w:r>
        <w:rPr>
          <w:rFonts w:hint="eastAsia"/>
        </w:rPr>
        <w:t>因招标文件的修改推迟投标截止日期的，按采购人书面通知修改的时间递交。</w:t>
      </w:r>
    </w:p>
    <w:p>
      <w:pPr>
        <w:bidi w:val="0"/>
        <w:spacing w:line="360" w:lineRule="auto"/>
      </w:pPr>
      <w:r>
        <w:rPr>
          <w:rFonts w:hint="eastAsia"/>
        </w:rPr>
        <w:t>采购人拒绝在投标截止时间后送达的投标文件。</w:t>
      </w:r>
    </w:p>
    <w:p>
      <w:pPr>
        <w:bidi w:val="0"/>
        <w:spacing w:line="360" w:lineRule="auto"/>
        <w:rPr>
          <w:rFonts w:hint="eastAsia"/>
        </w:rPr>
      </w:pPr>
      <w:bookmarkStart w:id="105" w:name="_Toc214858072"/>
      <w:bookmarkStart w:id="106" w:name="_Toc13623"/>
      <w:bookmarkStart w:id="107" w:name="_Toc214696305"/>
      <w:bookmarkStart w:id="108" w:name="_Toc3602_WPSOffice_Level2"/>
      <w:bookmarkStart w:id="109" w:name="_Toc15453_WPSOffice_Level2"/>
      <w:r>
        <w:rPr>
          <w:rFonts w:hint="eastAsia"/>
        </w:rPr>
        <w:t>2.5开标</w:t>
      </w:r>
      <w:bookmarkEnd w:id="105"/>
      <w:bookmarkEnd w:id="106"/>
      <w:bookmarkEnd w:id="107"/>
      <w:bookmarkEnd w:id="108"/>
      <w:bookmarkEnd w:id="109"/>
    </w:p>
    <w:p>
      <w:pPr>
        <w:bidi w:val="0"/>
        <w:spacing w:line="360" w:lineRule="auto"/>
      </w:pPr>
      <w:r>
        <w:rPr>
          <w:rFonts w:hint="eastAsia"/>
        </w:rPr>
        <w:t>采购人在投标邀请函规定的时间和地点公开开标。投标人应派代表参加并签到以证明其出席。</w:t>
      </w:r>
    </w:p>
    <w:p>
      <w:pPr>
        <w:bidi w:val="0"/>
        <w:spacing w:line="360" w:lineRule="auto"/>
      </w:pPr>
      <w:r>
        <w:rPr>
          <w:rFonts w:hint="eastAsia"/>
        </w:rPr>
        <w:t>开标时，应当有投标人或者其推选的代表检查投标文件的密封情况，也可由采购人委托的公证机构检查并公证；经确认无误后，由招标工作人员当众拆封唱标，宣读投标人名称、投标报价，以及采购人认为合适的其他内容并加以记录。</w:t>
      </w:r>
    </w:p>
    <w:p>
      <w:pPr>
        <w:bidi w:val="0"/>
        <w:spacing w:line="360" w:lineRule="auto"/>
      </w:pPr>
      <w:r>
        <w:rPr>
          <w:rFonts w:hint="eastAsia"/>
        </w:rPr>
        <w:t>无论何种原因，在开标时没有启封的投标文件在评标时将不予考虑，采购人对此不承担任何责任。撤回的投标文件将原封退回投标人。</w:t>
      </w:r>
    </w:p>
    <w:p>
      <w:pPr>
        <w:bidi w:val="0"/>
        <w:spacing w:line="360" w:lineRule="auto"/>
      </w:pPr>
      <w:r>
        <w:rPr>
          <w:rFonts w:hint="eastAsia"/>
        </w:rPr>
        <w:t>投标文件有下列情况之一，其投标文件将被拒绝：</w:t>
      </w:r>
    </w:p>
    <w:p>
      <w:pPr>
        <w:bidi w:val="0"/>
        <w:spacing w:line="360" w:lineRule="auto"/>
      </w:pPr>
      <w:bookmarkStart w:id="110" w:name="_Toc214696307"/>
      <w:bookmarkStart w:id="111" w:name="_Toc214858074"/>
      <w:r>
        <w:rPr>
          <w:rFonts w:hint="eastAsia"/>
        </w:rPr>
        <w:t>逾期送达的；</w:t>
      </w:r>
    </w:p>
    <w:p>
      <w:pPr>
        <w:bidi w:val="0"/>
        <w:spacing w:line="360" w:lineRule="auto"/>
      </w:pPr>
      <w:r>
        <w:rPr>
          <w:rFonts w:hint="eastAsia"/>
        </w:rPr>
        <w:t>未按招标文件要求密封、标记的；</w:t>
      </w:r>
    </w:p>
    <w:p>
      <w:pPr>
        <w:bidi w:val="0"/>
        <w:spacing w:line="360" w:lineRule="auto"/>
      </w:pPr>
      <w:r>
        <w:rPr>
          <w:rFonts w:hint="eastAsia"/>
        </w:rPr>
        <w:t>违反招标、投标纪律的。</w:t>
      </w:r>
      <w:bookmarkEnd w:id="110"/>
      <w:bookmarkEnd w:id="111"/>
    </w:p>
    <w:p>
      <w:pPr>
        <w:bidi w:val="0"/>
        <w:spacing w:line="360" w:lineRule="auto"/>
        <w:jc w:val="center"/>
        <w:rPr>
          <w:rFonts w:hint="eastAsia"/>
        </w:rPr>
      </w:pPr>
      <w:r>
        <w:rPr>
          <w:rFonts w:hint="eastAsia"/>
        </w:rPr>
        <w:br w:type="page"/>
      </w:r>
      <w:bookmarkStart w:id="112" w:name="_Toc21728"/>
      <w:bookmarkStart w:id="113" w:name="_Toc11355"/>
      <w:bookmarkStart w:id="114" w:name="_Toc5137_WPSOffice_Level1"/>
      <w:bookmarkStart w:id="115" w:name="_Toc1127_WPSOffice_Level1"/>
      <w:bookmarkStart w:id="116" w:name="_Toc3872_WPSOffice_Level1"/>
      <w:r>
        <w:rPr>
          <w:rFonts w:hint="eastAsia" w:ascii="宋体" w:hAnsi="宋体"/>
          <w:b/>
          <w:bCs/>
          <w:color w:val="000000"/>
          <w:kern w:val="44"/>
          <w:sz w:val="36"/>
          <w:szCs w:val="32"/>
        </w:rPr>
        <w:t>第三章 项目要求</w:t>
      </w:r>
      <w:bookmarkEnd w:id="112"/>
      <w:bookmarkEnd w:id="113"/>
      <w:bookmarkEnd w:id="114"/>
      <w:bookmarkEnd w:id="115"/>
      <w:bookmarkEnd w:id="116"/>
    </w:p>
    <w:p>
      <w:pPr>
        <w:bidi w:val="0"/>
        <w:spacing w:line="360" w:lineRule="auto"/>
        <w:rPr>
          <w:rFonts w:hint="eastAsia"/>
        </w:rPr>
      </w:pPr>
      <w:bookmarkStart w:id="117" w:name="_Toc29678_WPSOffice_Level2"/>
      <w:bookmarkStart w:id="118" w:name="_Toc23800_WPSOffice_Level2"/>
      <w:r>
        <w:rPr>
          <w:rFonts w:hint="eastAsia"/>
        </w:rPr>
        <w:t>3.1采购清单</w:t>
      </w:r>
      <w:bookmarkEnd w:id="117"/>
      <w:bookmarkEnd w:id="118"/>
    </w:p>
    <w:p>
      <w:pPr>
        <w:bidi w:val="0"/>
        <w:spacing w:line="360" w:lineRule="auto"/>
        <w:rPr>
          <w:rFonts w:hint="eastAsia"/>
        </w:rPr>
      </w:pPr>
      <w:r>
        <w:rPr>
          <w:rFonts w:hint="eastAsia"/>
        </w:rPr>
        <w:t xml:space="preserve"> 设备采购表</w:t>
      </w:r>
    </w:p>
    <w:tbl>
      <w:tblPr>
        <w:tblStyle w:val="6"/>
        <w:tblpPr w:leftFromText="180" w:rightFromText="180" w:vertAnchor="text" w:horzAnchor="page" w:tblpX="1358" w:tblpY="66"/>
        <w:tblOverlap w:val="never"/>
        <w:tblW w:w="8415" w:type="dxa"/>
        <w:tblInd w:w="0" w:type="dxa"/>
        <w:tblLayout w:type="fixed"/>
        <w:tblCellMar>
          <w:top w:w="0" w:type="dxa"/>
          <w:left w:w="0" w:type="dxa"/>
          <w:bottom w:w="0" w:type="dxa"/>
          <w:right w:w="0" w:type="dxa"/>
        </w:tblCellMar>
      </w:tblPr>
      <w:tblGrid>
        <w:gridCol w:w="1080"/>
        <w:gridCol w:w="2265"/>
        <w:gridCol w:w="2910"/>
        <w:gridCol w:w="1080"/>
        <w:gridCol w:w="1080"/>
      </w:tblGrid>
      <w:tr>
        <w:tblPrEx>
          <w:tblLayout w:type="fixed"/>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rPr>
                <w:rFonts w:hint="eastAsia"/>
              </w:rPr>
            </w:pPr>
            <w:r>
              <w:rPr>
                <w:rFonts w:hint="eastAsia"/>
              </w:rPr>
              <w:t>NO</w:t>
            </w:r>
          </w:p>
        </w:tc>
        <w:tc>
          <w:tcPr>
            <w:tcW w:w="2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rPr>
                <w:rFonts w:hint="eastAsia"/>
              </w:rPr>
            </w:pPr>
            <w:r>
              <w:rPr>
                <w:rFonts w:hint="eastAsia"/>
              </w:rPr>
              <w:t>名称</w:t>
            </w:r>
          </w:p>
        </w:tc>
        <w:tc>
          <w:tcPr>
            <w:tcW w:w="2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360" w:lineRule="auto"/>
              <w:rPr>
                <w:rFonts w:hint="eastAsia"/>
              </w:rPr>
            </w:pPr>
            <w:r>
              <w:rPr>
                <w:rFonts w:hint="eastAsia"/>
              </w:rPr>
              <w:t>产品描述( 规格单位为mm)</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rPr>
                <w:rFonts w:hint="eastAsia"/>
              </w:rPr>
            </w:pPr>
            <w:r>
              <w:rPr>
                <w:rFonts w:hint="eastAsia"/>
              </w:rPr>
              <w:t>单位</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rPr>
                <w:rFonts w:hint="eastAsia"/>
              </w:rPr>
            </w:pPr>
            <w:r>
              <w:rPr>
                <w:rFonts w:hint="eastAsia"/>
              </w:rPr>
              <w:t>数量</w:t>
            </w:r>
          </w:p>
        </w:tc>
      </w:tr>
      <w:tr>
        <w:tblPrEx>
          <w:tblLayout w:type="fixed"/>
          <w:tblCellMar>
            <w:top w:w="0" w:type="dxa"/>
            <w:left w:w="0" w:type="dxa"/>
            <w:bottom w:w="0" w:type="dxa"/>
            <w:right w:w="0" w:type="dxa"/>
          </w:tblCellMar>
        </w:tblPrEx>
        <w:trPr>
          <w:trHeight w:val="918"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rPr>
                <w:rFonts w:hint="eastAsia"/>
              </w:rPr>
            </w:pPr>
            <w:r>
              <w:rPr>
                <w:rFonts w:hint="eastAsia"/>
              </w:rPr>
              <w:t>NO.1</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360" w:lineRule="auto"/>
              <w:jc w:val="center"/>
              <w:rPr>
                <w:rFonts w:hint="eastAsia"/>
              </w:rPr>
            </w:pPr>
            <w:r>
              <w:rPr>
                <w:rFonts w:hint="eastAsia"/>
              </w:rPr>
              <w:t>智能轨道密集架</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rPr>
                <w:rFonts w:hint="eastAsia"/>
              </w:rPr>
            </w:pPr>
            <w:r>
              <w:rPr>
                <w:rFonts w:hint="eastAsia"/>
              </w:rPr>
              <w:t>2350*900*580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rPr>
                <w:rFonts w:hint="eastAsia"/>
              </w:rPr>
            </w:pPr>
            <w:r>
              <w:rPr>
                <w:rFonts w:hint="eastAsia"/>
              </w:rPr>
              <w:t>m³</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rPr>
                <w:rFonts w:hint="default"/>
                <w:lang w:val="en-US" w:eastAsia="zh-CN"/>
              </w:rPr>
            </w:pPr>
            <w:r>
              <w:rPr>
                <w:rFonts w:hint="eastAsia" w:ascii="Calibri" w:eastAsia="宋体"/>
                <w:lang w:val="en-US" w:eastAsia="zh-CN"/>
              </w:rPr>
              <w:t>122</w:t>
            </w:r>
          </w:p>
        </w:tc>
      </w:tr>
      <w:tr>
        <w:tblPrEx>
          <w:tblLayout w:type="fixed"/>
          <w:tblCellMar>
            <w:top w:w="0" w:type="dxa"/>
            <w:left w:w="0" w:type="dxa"/>
            <w:bottom w:w="0" w:type="dxa"/>
            <w:right w:w="0" w:type="dxa"/>
          </w:tblCellMar>
        </w:tblPrEx>
        <w:trPr>
          <w:trHeight w:val="918"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pPr>
            <w:r>
              <w:rPr>
                <w:rFonts w:hint="eastAsia"/>
              </w:rPr>
              <w:t>NO.2</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360" w:lineRule="auto"/>
              <w:jc w:val="center"/>
              <w:rPr>
                <w:rFonts w:hint="eastAsia"/>
              </w:rPr>
            </w:pPr>
            <w:r>
              <w:rPr>
                <w:rFonts w:hint="eastAsia"/>
              </w:rPr>
              <w:t>书车</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rPr>
                <w:rFonts w:hint="eastAsia"/>
              </w:rPr>
            </w:pPr>
            <w:r>
              <w:rPr>
                <w:rFonts w:hint="eastAsia"/>
              </w:rPr>
              <w:t>三层书车</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rPr>
                <w:rFonts w:hint="eastAsia"/>
              </w:rPr>
            </w:pPr>
            <w:r>
              <w:rPr>
                <w:rFonts w:hint="eastAsia"/>
              </w:rPr>
              <w:t>个</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pPr>
            <w:r>
              <w:rPr>
                <w:rFonts w:hint="eastAsia"/>
              </w:rPr>
              <w:t>1</w:t>
            </w:r>
          </w:p>
        </w:tc>
      </w:tr>
      <w:tr>
        <w:tblPrEx>
          <w:tblLayout w:type="fixed"/>
          <w:tblCellMar>
            <w:top w:w="0" w:type="dxa"/>
            <w:left w:w="0" w:type="dxa"/>
            <w:bottom w:w="0" w:type="dxa"/>
            <w:right w:w="0" w:type="dxa"/>
          </w:tblCellMar>
        </w:tblPrEx>
        <w:trPr>
          <w:trHeight w:val="918"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pPr>
            <w:r>
              <w:rPr>
                <w:rFonts w:hint="eastAsia"/>
              </w:rPr>
              <w:t>NO.3</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360" w:lineRule="auto"/>
              <w:jc w:val="center"/>
              <w:rPr>
                <w:rFonts w:hint="eastAsia"/>
              </w:rPr>
            </w:pPr>
            <w:r>
              <w:rPr>
                <w:rFonts w:hint="eastAsia"/>
              </w:rPr>
              <w:t>书梯</w:t>
            </w:r>
          </w:p>
        </w:tc>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rPr>
                <w:rFonts w:hint="eastAsia"/>
              </w:rPr>
            </w:pPr>
            <w:r>
              <w:rPr>
                <w:rFonts w:hint="eastAsia"/>
              </w:rPr>
              <w:t>三步书梯</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rPr>
                <w:rFonts w:hint="eastAsia"/>
              </w:rPr>
            </w:pPr>
            <w:r>
              <w:rPr>
                <w:rFonts w:hint="eastAsia"/>
              </w:rPr>
              <w:t>个</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360" w:lineRule="auto"/>
              <w:jc w:val="center"/>
            </w:pPr>
            <w:r>
              <w:rPr>
                <w:rFonts w:hint="eastAsia"/>
              </w:rPr>
              <w:t>1</w:t>
            </w:r>
          </w:p>
        </w:tc>
      </w:tr>
    </w:tbl>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rPr>
          <w:rFonts w:hint="eastAsia"/>
        </w:rPr>
      </w:pPr>
      <w:bookmarkStart w:id="119" w:name="_Toc19688_WPSOffice_Level2"/>
      <w:bookmarkStart w:id="120" w:name="_Toc31028_WPSOffice_Level2"/>
      <w:r>
        <w:rPr>
          <w:rFonts w:hint="eastAsia"/>
        </w:rPr>
        <w:t>3.2服务地点：采购人指定地点。</w:t>
      </w:r>
      <w:bookmarkEnd w:id="119"/>
      <w:bookmarkEnd w:id="120"/>
    </w:p>
    <w:p>
      <w:pPr>
        <w:bidi w:val="0"/>
        <w:spacing w:line="360" w:lineRule="auto"/>
        <w:rPr>
          <w:rFonts w:hint="eastAsia"/>
        </w:rPr>
      </w:pPr>
      <w:bookmarkStart w:id="121" w:name="_Toc19325_WPSOffice_Level2"/>
      <w:bookmarkStart w:id="122" w:name="_Toc11551_WPSOffice_Level2"/>
      <w:r>
        <w:rPr>
          <w:rFonts w:hint="eastAsia"/>
        </w:rPr>
        <w:t>3.3技术规格</w:t>
      </w:r>
      <w:bookmarkEnd w:id="121"/>
      <w:bookmarkEnd w:id="122"/>
    </w:p>
    <w:p>
      <w:pPr>
        <w:bidi w:val="0"/>
        <w:spacing w:line="360" w:lineRule="auto"/>
        <w:rPr>
          <w:rFonts w:hint="eastAsia"/>
        </w:rPr>
      </w:pPr>
      <w:r>
        <w:t>1</w:t>
      </w:r>
      <w:r>
        <w:rPr>
          <w:rFonts w:hint="eastAsia"/>
        </w:rPr>
        <w:t>)基材采用优质SPCC冷轧钢板；采用 “十工位”表面前处理工序；喷塑粉末采用静电热熔环保</w:t>
      </w:r>
      <w:r>
        <w:rPr>
          <w:rFonts w:hint="eastAsia" w:ascii="Calibri" w:eastAsia="宋体"/>
          <w:lang w:val="zh-CN" w:eastAsia="zh-CN"/>
        </w:rPr>
        <w:t>静电粉末</w:t>
      </w:r>
      <w:r>
        <w:rPr>
          <w:rFonts w:hint="eastAsia"/>
        </w:rPr>
        <w:t>，返色时间为一般室内粉的一倍以上，附着力达国家一级标准；顶部有防尘板，底部有防鼠及防倾倒装置。</w:t>
      </w:r>
    </w:p>
    <w:p>
      <w:pPr>
        <w:bidi w:val="0"/>
        <w:spacing w:line="360" w:lineRule="auto"/>
        <w:rPr>
          <w:rFonts w:hint="eastAsia"/>
          <w:lang w:val="zh-CN" w:eastAsia="zh-CN"/>
        </w:rPr>
      </w:pPr>
      <w:r>
        <w:rPr>
          <w:rFonts w:hint="eastAsia"/>
        </w:rPr>
        <w:t>2)</w:t>
      </w:r>
      <w:r>
        <w:rPr>
          <w:rFonts w:hint="eastAsia"/>
          <w:b/>
          <w:color w:val="000000"/>
          <w:sz w:val="18"/>
          <w:szCs w:val="18"/>
        </w:rPr>
        <w:t xml:space="preserve">  </w:t>
      </w:r>
      <w:r>
        <w:rPr>
          <w:rFonts w:hint="eastAsia" w:ascii="宋体" w:hAnsi="宋体" w:cs="宋体"/>
          <w:color w:val="000000"/>
          <w:kern w:val="0"/>
          <w:szCs w:val="21"/>
        </w:rPr>
        <w:t>密集架主要由轨道、轨道座、底盘</w:t>
      </w:r>
      <w:r>
        <w:rPr>
          <w:rFonts w:hint="eastAsia"/>
        </w:rPr>
        <w:t>3.0mm</w:t>
      </w:r>
      <w:r>
        <w:rPr>
          <w:rFonts w:hint="eastAsia" w:ascii="宋体" w:hAnsi="宋体" w:cs="宋体"/>
          <w:color w:val="000000"/>
          <w:kern w:val="0"/>
          <w:szCs w:val="21"/>
        </w:rPr>
        <w:t>、传动机构</w:t>
      </w:r>
      <w:r>
        <w:rPr>
          <w:rFonts w:hint="eastAsia" w:ascii="宋体" w:hAnsi="宋体" w:cs="宋体"/>
          <w:color w:val="000000"/>
          <w:kern w:val="0"/>
          <w:szCs w:val="21"/>
          <w:lang w:eastAsia="zh-CN"/>
        </w:rPr>
        <w:t>、</w:t>
      </w:r>
      <w:r>
        <w:rPr>
          <w:rFonts w:hint="eastAsia" w:ascii="Calibri" w:eastAsia="宋体"/>
          <w:lang w:val="zh-CN" w:eastAsia="zh-CN"/>
        </w:rPr>
        <w:t>辊压加筋</w:t>
      </w:r>
      <w:r>
        <w:rPr>
          <w:rFonts w:hint="eastAsia"/>
        </w:rPr>
        <w:t>立柱1.5mm</w:t>
      </w:r>
      <w:r>
        <w:rPr>
          <w:rFonts w:hint="eastAsia" w:eastAsia="宋体"/>
          <w:lang w:eastAsia="zh-CN"/>
        </w:rPr>
        <w:t>、</w:t>
      </w:r>
      <w:r>
        <w:rPr>
          <w:rFonts w:hint="eastAsia"/>
        </w:rPr>
        <w:t>门板</w:t>
      </w:r>
      <w:r>
        <w:rPr>
          <w:rFonts w:hint="eastAsia" w:eastAsia="宋体"/>
          <w:lang w:eastAsia="zh-CN"/>
        </w:rPr>
        <w:t>、</w:t>
      </w:r>
      <w:r>
        <w:rPr>
          <w:rFonts w:hint="eastAsia" w:ascii="Calibri" w:eastAsia="宋体"/>
          <w:lang w:val="zh-CN" w:eastAsia="zh-CN"/>
        </w:rPr>
        <w:t>辊压成型</w:t>
      </w:r>
      <w:r>
        <w:rPr>
          <w:rFonts w:hint="eastAsia"/>
        </w:rPr>
        <w:t>搁板、挂板、侧板、</w:t>
      </w:r>
      <w:r>
        <w:rPr>
          <w:rFonts w:hint="eastAsia" w:ascii="Calibri" w:eastAsia="宋体"/>
          <w:lang w:val="zh-CN" w:eastAsia="zh-CN"/>
        </w:rPr>
        <w:t>冷扎钢板</w:t>
      </w:r>
      <w:r>
        <w:rPr>
          <w:rFonts w:hint="eastAsia"/>
        </w:rPr>
        <w:t>1.0mm、顶板1.0mm</w:t>
      </w:r>
      <w:r>
        <w:rPr>
          <w:rFonts w:hint="eastAsia" w:eastAsia="宋体"/>
          <w:lang w:eastAsia="zh-CN"/>
        </w:rPr>
        <w:t>、</w:t>
      </w:r>
      <w:r>
        <w:rPr>
          <w:rFonts w:hint="eastAsia" w:ascii="Calibri" w:eastAsia="宋体"/>
          <w:lang w:val="zh-CN" w:eastAsia="zh-CN"/>
        </w:rPr>
        <w:t>不锈钢板、紧固件、喷塑钢制部件、制动装置、铰链、锁具、拉手等零部件组成。</w:t>
      </w:r>
    </w:p>
    <w:p>
      <w:pPr>
        <w:bidi w:val="0"/>
        <w:spacing w:line="360" w:lineRule="auto"/>
        <w:rPr>
          <w:rFonts w:hint="eastAsia" w:eastAsia="宋体"/>
          <w:lang w:eastAsia="zh-CN"/>
        </w:rPr>
      </w:pPr>
      <w:r>
        <w:rPr>
          <w:rFonts w:hint="eastAsia" w:ascii="Calibri" w:eastAsia="宋体"/>
          <w:lang w:val="en-US" w:eastAsia="zh-CN"/>
        </w:rPr>
        <w:t>3）</w:t>
      </w:r>
      <w:r>
        <w:rPr>
          <w:rFonts w:hint="eastAsia"/>
        </w:rPr>
        <w:t>每组</w:t>
      </w:r>
      <w:r>
        <w:rPr>
          <w:rFonts w:hint="eastAsia" w:eastAsia="宋体"/>
          <w:lang w:eastAsia="zh-CN"/>
        </w:rPr>
        <w:t>尺寸：</w:t>
      </w:r>
      <w:r>
        <w:rPr>
          <w:rFonts w:hint="eastAsia"/>
        </w:rPr>
        <w:t>2350*900*580</w:t>
      </w:r>
      <w:r>
        <w:rPr>
          <w:rFonts w:hint="eastAsia" w:eastAsia="宋体"/>
          <w:lang w:eastAsia="zh-CN"/>
        </w:rPr>
        <w:t>（</w:t>
      </w:r>
      <w:r>
        <w:rPr>
          <w:rFonts w:hint="eastAsia"/>
          <w:sz w:val="28"/>
          <w:szCs w:val="28"/>
        </w:rPr>
        <w:t>mm</w:t>
      </w:r>
      <w:r>
        <w:rPr>
          <w:rFonts w:hint="eastAsia" w:eastAsia="宋体"/>
          <w:lang w:eastAsia="zh-CN"/>
        </w:rPr>
        <w:t>），每组</w:t>
      </w:r>
      <w:r>
        <w:rPr>
          <w:rFonts w:hint="eastAsia"/>
        </w:rPr>
        <w:t>6层</w:t>
      </w:r>
      <w:r>
        <w:rPr>
          <w:rFonts w:hint="eastAsia" w:eastAsia="宋体"/>
          <w:lang w:eastAsia="zh-CN"/>
        </w:rPr>
        <w:t>；</w:t>
      </w:r>
      <w:r>
        <w:rPr>
          <w:rFonts w:hint="eastAsia"/>
        </w:rPr>
        <w:t>终身免费维修</w:t>
      </w:r>
      <w:r>
        <w:rPr>
          <w:rFonts w:hint="eastAsia" w:eastAsia="宋体"/>
          <w:lang w:eastAsia="zh-CN"/>
        </w:rPr>
        <w:t>。</w:t>
      </w:r>
    </w:p>
    <w:p>
      <w:pPr>
        <w:bidi w:val="0"/>
        <w:spacing w:line="360" w:lineRule="auto"/>
        <w:rPr>
          <w:rFonts w:hint="eastAsia"/>
        </w:rPr>
      </w:pPr>
      <w:bookmarkStart w:id="123" w:name="_Toc31810_WPSOffice_Level2"/>
      <w:bookmarkStart w:id="124" w:name="_Toc26000_WPSOffice_Level2"/>
      <w:r>
        <w:rPr>
          <w:rFonts w:hint="eastAsia"/>
        </w:rPr>
        <w:t>3.4技术服务标准</w:t>
      </w:r>
      <w:bookmarkEnd w:id="123"/>
      <w:bookmarkEnd w:id="124"/>
    </w:p>
    <w:p>
      <w:pPr>
        <w:bidi w:val="0"/>
        <w:spacing w:line="360" w:lineRule="auto"/>
        <w:rPr>
          <w:rFonts w:hint="eastAsia"/>
        </w:rPr>
      </w:pPr>
      <w:r>
        <w:rPr>
          <w:rFonts w:hint="eastAsia"/>
        </w:rPr>
        <w:t>1)组成：一个单元至少应有一个固定列和N多个移动列组成， 固定列为12寸彩色触摸显示屏，移动列为5寸彩色触摸显示屏。供电电源：220V,50Hz，设备电源：DC：24V，电机： 24V,200W</w:t>
      </w:r>
    </w:p>
    <w:p>
      <w:pPr>
        <w:bidi w:val="0"/>
        <w:spacing w:line="360" w:lineRule="auto"/>
        <w:rPr>
          <w:rFonts w:hint="eastAsia"/>
        </w:rPr>
      </w:pPr>
      <w:r>
        <w:rPr>
          <w:rFonts w:hint="eastAsia"/>
        </w:rPr>
        <w:t>2)运行速度：4.5m/min，最达过载电流：8A</w:t>
      </w:r>
    </w:p>
    <w:p>
      <w:pPr>
        <w:bidi w:val="0"/>
        <w:spacing w:line="360" w:lineRule="auto"/>
        <w:rPr>
          <w:rFonts w:hint="eastAsia"/>
        </w:rPr>
      </w:pPr>
      <w:r>
        <w:rPr>
          <w:rFonts w:hint="eastAsia"/>
        </w:rPr>
        <w:t>3)噪声：≤60dB，最达滑行距离：≤60mm                                                                 </w:t>
      </w:r>
    </w:p>
    <w:p>
      <w:pPr>
        <w:bidi w:val="0"/>
        <w:spacing w:line="360" w:lineRule="auto"/>
        <w:rPr>
          <w:rFonts w:hint="eastAsia"/>
        </w:rPr>
      </w:pPr>
      <w:r>
        <w:rPr>
          <w:rFonts w:hint="eastAsia"/>
        </w:rPr>
        <w:t> 4)高性能微处理器和强抗干扰设计：系统采用的AVR芯片，具有较高的性能，线路设计和制作都采用了较高的抗干扰处理</w:t>
      </w:r>
    </w:p>
    <w:p>
      <w:pPr>
        <w:bidi w:val="0"/>
        <w:spacing w:line="360" w:lineRule="auto"/>
        <w:rPr>
          <w:rFonts w:hint="eastAsia"/>
        </w:rPr>
      </w:pPr>
      <w:r>
        <w:rPr>
          <w:rFonts w:hint="eastAsia"/>
        </w:rPr>
        <w:t>5)人性化自动开架功能：当管理人员需打开某一列架体时只要人按键开启此列后自动打开该架体。</w:t>
      </w:r>
    </w:p>
    <w:p>
      <w:pPr>
        <w:bidi w:val="0"/>
        <w:spacing w:line="360" w:lineRule="auto"/>
        <w:rPr>
          <w:rFonts w:hint="eastAsia"/>
        </w:rPr>
      </w:pPr>
      <w:r>
        <w:rPr>
          <w:rFonts w:hint="eastAsia"/>
        </w:rPr>
        <w:t xml:space="preserve">6)过道灯光自动照明功能：电脑多功能密集架具有操作到位时照明灯自动开启、关闭的功能 </w:t>
      </w:r>
    </w:p>
    <w:p>
      <w:pPr>
        <w:bidi w:val="0"/>
        <w:spacing w:line="360" w:lineRule="auto"/>
        <w:rPr>
          <w:rFonts w:hint="eastAsia"/>
        </w:rPr>
      </w:pPr>
      <w:r>
        <w:rPr>
          <w:rFonts w:hint="eastAsia"/>
        </w:rPr>
        <w:t> 7)操作集成功能：集手动、电动、电脑、触控,支持无线操控、电脑无线操控。</w:t>
      </w:r>
    </w:p>
    <w:p>
      <w:pPr>
        <w:bidi w:val="0"/>
        <w:spacing w:line="360" w:lineRule="auto"/>
        <w:rPr>
          <w:rFonts w:hint="eastAsia"/>
        </w:rPr>
      </w:pPr>
      <w:r>
        <w:rPr>
          <w:rFonts w:hint="eastAsia"/>
        </w:rPr>
        <w:t>8)左动、右动及左右动双开结构：架体打开具备左移动、右移动或左右双移动功能。</w:t>
      </w:r>
    </w:p>
    <w:p>
      <w:pPr>
        <w:bidi w:val="0"/>
        <w:spacing w:line="360" w:lineRule="auto"/>
        <w:rPr>
          <w:rFonts w:hint="eastAsia"/>
        </w:rPr>
      </w:pPr>
      <w:r>
        <w:rPr>
          <w:rFonts w:hint="eastAsia"/>
        </w:rPr>
        <w:t>9)密集架运行控制：低速起动，高速动行，无碰撞着陆功能</w:t>
      </w:r>
    </w:p>
    <w:p>
      <w:pPr>
        <w:bidi w:val="0"/>
        <w:spacing w:line="360" w:lineRule="auto"/>
        <w:rPr>
          <w:rFonts w:hint="eastAsia"/>
        </w:rPr>
      </w:pPr>
      <w:r>
        <w:rPr>
          <w:rFonts w:hint="eastAsia"/>
        </w:rPr>
        <w:t>10)温湿度检测功能：主控板上设置有温湿度检测模块,可在电脑操作界面、液晶显示屏上显示。</w:t>
      </w:r>
    </w:p>
    <w:p>
      <w:pPr>
        <w:bidi w:val="0"/>
        <w:spacing w:line="360" w:lineRule="auto"/>
        <w:rPr>
          <w:rFonts w:hint="eastAsia"/>
        </w:rPr>
      </w:pPr>
      <w:r>
        <w:rPr>
          <w:rFonts w:hint="eastAsia"/>
        </w:rPr>
        <w:t>11)温湿度延伸功能：可在操作界面上设置库房要求的温湿度上、下限，当实际检测的数值超过设定值时，系统将会报警，提醒操作人员打开空调或抽湿机。</w:t>
      </w:r>
    </w:p>
    <w:p>
      <w:pPr>
        <w:bidi w:val="0"/>
        <w:spacing w:line="360" w:lineRule="auto"/>
        <w:rPr>
          <w:rFonts w:hint="eastAsia"/>
        </w:rPr>
      </w:pPr>
      <w:r>
        <w:rPr>
          <w:rFonts w:hint="eastAsia"/>
        </w:rPr>
        <w:t>12)定时通风功能:用户可设定周期时间，定时通风。</w:t>
      </w:r>
    </w:p>
    <w:p>
      <w:pPr>
        <w:bidi w:val="0"/>
        <w:spacing w:line="360" w:lineRule="auto"/>
        <w:rPr>
          <w:rFonts w:hint="eastAsia"/>
        </w:rPr>
      </w:pPr>
      <w:r>
        <w:rPr>
          <w:rFonts w:hint="eastAsia"/>
        </w:rPr>
        <w:t xml:space="preserve">13)语音播报功能：管理系统会对密集架执行的命令和日前的状态进行语音播报 </w:t>
      </w:r>
    </w:p>
    <w:p>
      <w:pPr>
        <w:bidi w:val="0"/>
        <w:spacing w:line="360" w:lineRule="auto"/>
        <w:rPr>
          <w:rFonts w:hint="eastAsia"/>
        </w:rPr>
      </w:pPr>
      <w:r>
        <w:rPr>
          <w:rFonts w:hint="eastAsia"/>
        </w:rPr>
        <w:t>14)日志生成功能：可自动生成管理日志，为以后的系统维护提供更多的信息。</w:t>
      </w:r>
    </w:p>
    <w:p>
      <w:pPr>
        <w:bidi w:val="0"/>
        <w:spacing w:line="360" w:lineRule="auto"/>
        <w:rPr>
          <w:rFonts w:hint="eastAsia"/>
        </w:rPr>
      </w:pPr>
      <w:r>
        <w:rPr>
          <w:rFonts w:hint="eastAsia"/>
        </w:rPr>
        <w:t>1</w:t>
      </w:r>
      <w:r>
        <w:rPr>
          <w:rFonts w:hint="eastAsia" w:ascii="Calibri" w:eastAsia="宋体"/>
          <w:lang w:val="en-US" w:eastAsia="zh-CN"/>
        </w:rPr>
        <w:t>5</w:t>
      </w:r>
      <w:r>
        <w:rPr>
          <w:rFonts w:hint="eastAsia"/>
        </w:rPr>
        <w:t>)密集架安全保护功能（人员保护方面）：架体内外安装红外对射保护，架体内安装人体感应保护装置，在架体过道内有人员时，过道灯自动点亮，架体禁止启动运行，在架体过道内无人员时，过道灯15秒自动熄灭。</w:t>
      </w:r>
    </w:p>
    <w:p>
      <w:pPr>
        <w:bidi w:val="0"/>
        <w:spacing w:line="360" w:lineRule="auto"/>
        <w:rPr>
          <w:rFonts w:hint="eastAsia"/>
        </w:rPr>
      </w:pPr>
      <w:r>
        <w:rPr>
          <w:rFonts w:hint="eastAsia"/>
        </w:rPr>
        <w:t>1</w:t>
      </w:r>
      <w:r>
        <w:rPr>
          <w:rFonts w:hint="eastAsia" w:ascii="Calibri" w:eastAsia="宋体"/>
          <w:lang w:val="en-US" w:eastAsia="zh-CN"/>
        </w:rPr>
        <w:t>6</w:t>
      </w:r>
      <w:r>
        <w:rPr>
          <w:rFonts w:hint="eastAsia"/>
        </w:rPr>
        <w:t>)密集架安全保护功能（档案保护方面）：架体打开若超出三分钟（10s-600s可调）密集架控制系统无人操作及架体内无人时，密集架移动列将自动关闭，以保证档案的保密性。</w:t>
      </w:r>
    </w:p>
    <w:p>
      <w:pPr>
        <w:bidi w:val="0"/>
        <w:spacing w:line="360" w:lineRule="auto"/>
        <w:rPr>
          <w:rFonts w:hint="eastAsia"/>
        </w:rPr>
      </w:pPr>
      <w:r>
        <w:rPr>
          <w:rFonts w:hint="eastAsia"/>
        </w:rPr>
        <w:t>1</w:t>
      </w:r>
      <w:r>
        <w:rPr>
          <w:rFonts w:hint="eastAsia" w:ascii="Calibri" w:eastAsia="宋体"/>
          <w:lang w:val="en-US" w:eastAsia="zh-CN"/>
        </w:rPr>
        <w:t>7</w:t>
      </w:r>
      <w:r>
        <w:rPr>
          <w:rFonts w:hint="eastAsia"/>
        </w:rPr>
        <w:t>)查询库房信息功能：可以通过浏览网页，在输入相应的用户名和密码后，通过服务器查询知道当前库房中现有各列的各种状态和各种信息。</w:t>
      </w:r>
    </w:p>
    <w:p>
      <w:pPr>
        <w:bidi w:val="0"/>
        <w:spacing w:line="360" w:lineRule="auto"/>
        <w:rPr>
          <w:rFonts w:hint="eastAsia"/>
        </w:rPr>
      </w:pPr>
      <w:r>
        <w:rPr>
          <w:rFonts w:hint="eastAsia"/>
        </w:rPr>
        <w:t>1</w:t>
      </w:r>
      <w:r>
        <w:rPr>
          <w:rFonts w:hint="eastAsia" w:ascii="Calibri" w:eastAsia="宋体"/>
          <w:lang w:val="en-US" w:eastAsia="zh-CN"/>
        </w:rPr>
        <w:t>8</w:t>
      </w:r>
      <w:r>
        <w:rPr>
          <w:rFonts w:hint="eastAsia"/>
        </w:rPr>
        <w:t>)权限设置功能：密码实行分级管理</w:t>
      </w:r>
    </w:p>
    <w:p>
      <w:pPr>
        <w:bidi w:val="0"/>
        <w:spacing w:line="360" w:lineRule="auto"/>
        <w:rPr>
          <w:rFonts w:hint="eastAsia"/>
        </w:rPr>
      </w:pPr>
      <w:r>
        <w:rPr>
          <w:rFonts w:hint="eastAsia" w:ascii="Calibri" w:eastAsia="宋体"/>
          <w:lang w:val="en-US" w:eastAsia="zh-CN"/>
        </w:rPr>
        <w:t>19</w:t>
      </w:r>
      <w:r>
        <w:rPr>
          <w:rFonts w:hint="eastAsia"/>
        </w:rPr>
        <w:t>)作业排队功能：可实现作业的串行排队，以提高效率。</w:t>
      </w:r>
    </w:p>
    <w:p>
      <w:pPr>
        <w:bidi w:val="0"/>
        <w:spacing w:line="360" w:lineRule="auto"/>
        <w:rPr>
          <w:rFonts w:hint="eastAsia"/>
        </w:rPr>
      </w:pPr>
      <w:r>
        <w:rPr>
          <w:rFonts w:hint="eastAsia"/>
        </w:rPr>
        <w:t>2</w:t>
      </w:r>
      <w:r>
        <w:rPr>
          <w:rFonts w:hint="eastAsia" w:ascii="Calibri" w:eastAsia="宋体"/>
          <w:lang w:val="en-US" w:eastAsia="zh-CN"/>
        </w:rPr>
        <w:t>0</w:t>
      </w:r>
      <w:r>
        <w:rPr>
          <w:rFonts w:hint="eastAsia"/>
        </w:rPr>
        <w:t>)支持分区数据库管理：库据库服务器计算机具备条码及电子标签扫描功能。</w:t>
      </w:r>
    </w:p>
    <w:p>
      <w:pPr>
        <w:bidi w:val="0"/>
        <w:spacing w:line="360" w:lineRule="auto"/>
        <w:rPr>
          <w:rFonts w:hint="eastAsia"/>
        </w:rPr>
      </w:pPr>
      <w:r>
        <w:rPr>
          <w:rFonts w:hint="eastAsia"/>
        </w:rPr>
        <w:t>2</w:t>
      </w:r>
      <w:r>
        <w:rPr>
          <w:rFonts w:hint="eastAsia" w:ascii="Calibri" w:eastAsia="宋体"/>
          <w:lang w:val="en-US" w:eastAsia="zh-CN"/>
        </w:rPr>
        <w:t>1</w:t>
      </w:r>
      <w:r>
        <w:rPr>
          <w:rFonts w:hint="eastAsia"/>
        </w:rPr>
        <w:t>）预留升级功能：数据库具备多级备份功能，并提供多组预留接口。</w:t>
      </w:r>
    </w:p>
    <w:p>
      <w:pPr>
        <w:bidi w:val="0"/>
        <w:spacing w:line="360" w:lineRule="auto"/>
        <w:rPr>
          <w:rFonts w:hint="eastAsia"/>
        </w:rPr>
      </w:pPr>
      <w:r>
        <w:rPr>
          <w:rFonts w:hint="eastAsia"/>
        </w:rPr>
        <w:t>2</w:t>
      </w:r>
      <w:r>
        <w:rPr>
          <w:rFonts w:hint="eastAsia" w:ascii="Calibri" w:eastAsia="宋体"/>
          <w:lang w:val="en-US" w:eastAsia="zh-CN"/>
        </w:rPr>
        <w:t>2</w:t>
      </w:r>
      <w:r>
        <w:rPr>
          <w:rFonts w:hint="eastAsia"/>
        </w:rPr>
        <w:t>）自动保护功能：漏电保护，电源控制系统设有漏电装置，一旦漏电会自动切断电源</w:t>
      </w:r>
    </w:p>
    <w:p>
      <w:pPr>
        <w:bidi w:val="0"/>
        <w:spacing w:line="360" w:lineRule="auto"/>
      </w:pPr>
      <w:bookmarkStart w:id="125" w:name="_Toc13675_WPSOffice_Level2"/>
      <w:bookmarkStart w:id="126" w:name="_Toc18756_WPSOffice_Level2"/>
      <w:r>
        <w:rPr>
          <w:rFonts w:hint="eastAsia"/>
        </w:rPr>
        <w:t>3.5服务承诺</w:t>
      </w:r>
      <w:bookmarkEnd w:id="125"/>
      <w:bookmarkEnd w:id="126"/>
    </w:p>
    <w:p>
      <w:pPr>
        <w:bidi w:val="0"/>
        <w:spacing w:line="360" w:lineRule="auto"/>
        <w:rPr>
          <w:rFonts w:hint="eastAsia"/>
        </w:rPr>
      </w:pPr>
      <w:r>
        <w:rPr>
          <w:rFonts w:hint="eastAsia"/>
        </w:rPr>
        <w:t>3.5.1产品质量保证期</w:t>
      </w:r>
    </w:p>
    <w:p>
      <w:pPr>
        <w:bidi w:val="0"/>
        <w:spacing w:line="360" w:lineRule="auto"/>
        <w:rPr>
          <w:rFonts w:hint="eastAsia"/>
        </w:rPr>
      </w:pPr>
      <w:r>
        <w:rPr>
          <w:rFonts w:hint="eastAsia"/>
        </w:rPr>
        <w:t>1)投标人应明确承诺：投标产品质量保证期2年，经双方代表在验收合格书面文件上签字并加盖公章之日起算。</w:t>
      </w:r>
    </w:p>
    <w:p>
      <w:pPr>
        <w:bidi w:val="0"/>
        <w:spacing w:line="360" w:lineRule="auto"/>
        <w:rPr>
          <w:rFonts w:hint="eastAsia"/>
        </w:rPr>
      </w:pPr>
      <w:r>
        <w:rPr>
          <w:rFonts w:hint="eastAsia"/>
        </w:rPr>
        <w:t>2)投标产品属于国家规定“三包”范围的，其产品质量保证期不得低于“三包”规定。</w:t>
      </w:r>
    </w:p>
    <w:p>
      <w:pPr>
        <w:bidi w:val="0"/>
        <w:spacing w:line="360" w:lineRule="auto"/>
        <w:rPr>
          <w:rFonts w:hint="eastAsia"/>
        </w:rPr>
      </w:pPr>
      <w:r>
        <w:rPr>
          <w:rFonts w:hint="eastAsia"/>
        </w:rPr>
        <w:t>3)投标人的质量保证期承诺优于国家“三包”规定的，按投标人实际承诺执行。</w:t>
      </w:r>
    </w:p>
    <w:p>
      <w:pPr>
        <w:bidi w:val="0"/>
        <w:spacing w:line="360" w:lineRule="auto"/>
        <w:rPr>
          <w:rFonts w:hint="eastAsia"/>
        </w:rPr>
      </w:pPr>
      <w:r>
        <w:rPr>
          <w:rFonts w:hint="eastAsia"/>
        </w:rPr>
        <w:t>4)投标产品由制造商（指产品生产制造商，或其负责销售、售后服务机构，以下同）负责标准售后服务的，应当在投标文件中予以明确说明,并附制造商售后服务承诺。</w:t>
      </w:r>
    </w:p>
    <w:p>
      <w:pPr>
        <w:bidi w:val="0"/>
        <w:spacing w:line="360" w:lineRule="auto"/>
        <w:rPr>
          <w:rFonts w:hint="eastAsia"/>
        </w:rPr>
      </w:pPr>
      <w:r>
        <w:rPr>
          <w:rFonts w:hint="eastAsia"/>
        </w:rPr>
        <w:t>3.5.2售后服务内容</w:t>
      </w:r>
    </w:p>
    <w:p>
      <w:pPr>
        <w:bidi w:val="0"/>
        <w:spacing w:line="360" w:lineRule="auto"/>
        <w:rPr>
          <w:rFonts w:hint="eastAsia"/>
        </w:rPr>
      </w:pPr>
      <w:r>
        <w:rPr>
          <w:rFonts w:hint="eastAsia"/>
        </w:rPr>
        <w:t>1)投标人和制造商在质量保证期内应当为采购人提供以下技术支持和服务：</w:t>
      </w:r>
    </w:p>
    <w:p>
      <w:pPr>
        <w:bidi w:val="0"/>
        <w:spacing w:line="360" w:lineRule="auto"/>
        <w:rPr>
          <w:rFonts w:hint="eastAsia"/>
        </w:rPr>
      </w:pPr>
      <w:r>
        <w:rPr>
          <w:rFonts w:hint="eastAsia"/>
        </w:rPr>
        <w:t>Ⅰ电话咨询</w:t>
      </w:r>
    </w:p>
    <w:p>
      <w:pPr>
        <w:bidi w:val="0"/>
        <w:spacing w:line="360" w:lineRule="auto"/>
        <w:rPr>
          <w:rFonts w:hint="eastAsia"/>
        </w:rPr>
      </w:pPr>
      <w:r>
        <w:rPr>
          <w:rFonts w:hint="eastAsia"/>
        </w:rPr>
        <w:t>中标人和制造商应当为采购人提供技术援助电话，解答采购人在使用中遇到的问题，及时为采购人提出解决问题的建议。</w:t>
      </w:r>
    </w:p>
    <w:p>
      <w:pPr>
        <w:bidi w:val="0"/>
        <w:spacing w:line="360" w:lineRule="auto"/>
        <w:rPr>
          <w:rFonts w:hint="eastAsia"/>
        </w:rPr>
      </w:pPr>
      <w:r>
        <w:rPr>
          <w:rFonts w:hint="eastAsia"/>
        </w:rPr>
        <w:t>Ⅱ现场响应</w:t>
      </w:r>
    </w:p>
    <w:p>
      <w:pPr>
        <w:bidi w:val="0"/>
        <w:spacing w:line="360" w:lineRule="auto"/>
        <w:rPr>
          <w:rFonts w:hint="eastAsia"/>
        </w:rPr>
      </w:pPr>
      <w:r>
        <w:rPr>
          <w:rFonts w:hint="eastAsia"/>
        </w:rPr>
        <w:t>采购人遇到使用及技术问题，电话咨询不能解决的，中标人和制造商应在2小内到达现场（远郊区4小时内到达现场）进行处理，确保产品正常工作；无法在8小时内解决的，应在24小时内提供备用产品，使采购人能够正常使用。</w:t>
      </w:r>
    </w:p>
    <w:p>
      <w:pPr>
        <w:bidi w:val="0"/>
        <w:spacing w:line="360" w:lineRule="auto"/>
        <w:rPr>
          <w:rFonts w:hint="eastAsia"/>
        </w:rPr>
      </w:pPr>
      <w:r>
        <w:rPr>
          <w:rFonts w:hint="eastAsia"/>
        </w:rPr>
        <w:t>Ⅲ技术升级</w:t>
      </w:r>
    </w:p>
    <w:p>
      <w:pPr>
        <w:bidi w:val="0"/>
        <w:spacing w:line="360" w:lineRule="auto"/>
        <w:rPr>
          <w:rFonts w:hint="eastAsia"/>
        </w:rPr>
      </w:pPr>
      <w:r>
        <w:rPr>
          <w:rFonts w:hint="eastAsia"/>
        </w:rPr>
        <w:t>在质保期内，如果中标人和制造商的产品技术升级，供应商应及时通知采购人，如采购人有相应要求，中标人和制造商应对采购人购买的产品进行升级服务。</w:t>
      </w:r>
    </w:p>
    <w:p>
      <w:pPr>
        <w:bidi w:val="0"/>
        <w:spacing w:line="360" w:lineRule="auto"/>
        <w:rPr>
          <w:rFonts w:hint="eastAsia"/>
        </w:rPr>
      </w:pPr>
      <w:r>
        <w:rPr>
          <w:rFonts w:hint="eastAsia"/>
        </w:rPr>
        <w:t>2)质保期外服务要求</w:t>
      </w:r>
    </w:p>
    <w:p>
      <w:pPr>
        <w:bidi w:val="0"/>
        <w:spacing w:line="360" w:lineRule="auto"/>
        <w:rPr>
          <w:rFonts w:hint="eastAsia"/>
        </w:rPr>
      </w:pPr>
      <w:r>
        <w:rPr>
          <w:rFonts w:hint="eastAsia"/>
        </w:rPr>
        <w:t>Ⅰ质量保证期过后，供应商和制造商应同样提供免费电话咨询服务，并应承诺提供产品上门维护服务。</w:t>
      </w:r>
    </w:p>
    <w:p>
      <w:pPr>
        <w:bidi w:val="0"/>
        <w:spacing w:line="360" w:lineRule="auto"/>
        <w:rPr>
          <w:rFonts w:hint="eastAsia"/>
        </w:rPr>
      </w:pPr>
      <w:r>
        <w:rPr>
          <w:rFonts w:hint="eastAsia"/>
        </w:rPr>
        <w:t>Ⅱ质量保证期过后，采购人需要继续由原供应商和制造商提供售后服务的，该供应商和制造商应以优惠价格（按市场价格的80%收取）提供售后服务。</w:t>
      </w:r>
    </w:p>
    <w:p>
      <w:pPr>
        <w:bidi w:val="0"/>
        <w:spacing w:line="360" w:lineRule="auto"/>
        <w:rPr>
          <w:rFonts w:hint="eastAsia"/>
        </w:rPr>
      </w:pPr>
      <w:r>
        <w:rPr>
          <w:rFonts w:hint="eastAsia"/>
        </w:rPr>
        <w:t>3)备品备件及易损件</w:t>
      </w:r>
    </w:p>
    <w:p>
      <w:pPr>
        <w:bidi w:val="0"/>
        <w:spacing w:line="360" w:lineRule="auto"/>
        <w:rPr>
          <w:rFonts w:hint="eastAsia"/>
        </w:rPr>
      </w:pPr>
      <w:r>
        <w:rPr>
          <w:rFonts w:hint="eastAsia"/>
        </w:rPr>
        <w:t>中标人和制造商售后服务中，维修使用的备品备件及易损件应为原厂配件，未经采购人同意不得使用非原厂配件，常用的、容易损坏的备品备件及易损件的价格清单须在投标文件中列出。</w:t>
      </w:r>
    </w:p>
    <w:p>
      <w:pPr>
        <w:bidi w:val="0"/>
        <w:spacing w:line="360" w:lineRule="auto"/>
      </w:pPr>
      <w:bookmarkStart w:id="127" w:name="_Toc3332_WPSOffice_Level2"/>
      <w:bookmarkStart w:id="128" w:name="_Toc445_WPSOffice_Level2"/>
      <w:r>
        <w:rPr>
          <w:rFonts w:hint="eastAsia"/>
        </w:rPr>
        <w:t>3.6付款方式</w:t>
      </w:r>
      <w:bookmarkEnd w:id="127"/>
      <w:bookmarkEnd w:id="128"/>
    </w:p>
    <w:p>
      <w:pPr>
        <w:bidi w:val="0"/>
        <w:spacing w:line="360" w:lineRule="auto"/>
        <w:rPr>
          <w:rFonts w:hint="eastAsia"/>
        </w:rPr>
      </w:pPr>
      <w:r>
        <w:rPr>
          <w:rFonts w:hint="eastAsia"/>
        </w:rPr>
        <w:t>签订合同后预付款50%；</w:t>
      </w:r>
      <w:r>
        <w:rPr>
          <w:rFonts w:hint="eastAsia" w:eastAsia="宋体"/>
          <w:lang w:eastAsia="zh-CN"/>
        </w:rPr>
        <w:t>货物</w:t>
      </w:r>
      <w:r>
        <w:rPr>
          <w:rFonts w:hint="eastAsia"/>
        </w:rPr>
        <w:t>验收合格</w:t>
      </w:r>
      <w:r>
        <w:rPr>
          <w:rFonts w:hint="eastAsia" w:eastAsia="宋体"/>
          <w:lang w:eastAsia="zh-CN"/>
        </w:rPr>
        <w:t>后</w:t>
      </w:r>
      <w:r>
        <w:rPr>
          <w:rFonts w:hint="eastAsia"/>
        </w:rPr>
        <w:t>，供应商提供国家正规发票，由核工业成都机电学校一次性转账付清全款。</w:t>
      </w:r>
    </w:p>
    <w:p>
      <w:pPr>
        <w:bidi w:val="0"/>
        <w:spacing w:line="360" w:lineRule="auto"/>
        <w:rPr>
          <w:rFonts w:hint="eastAsia"/>
        </w:rPr>
      </w:pPr>
      <w:bookmarkStart w:id="129" w:name="_Toc390_WPSOffice_Level2"/>
      <w:bookmarkStart w:id="130" w:name="_Toc22702_WPSOffice_Level2"/>
      <w:bookmarkStart w:id="131" w:name="_Toc528157332"/>
      <w:bookmarkStart w:id="132" w:name="_Toc529354597"/>
      <w:r>
        <w:rPr>
          <w:rFonts w:hint="eastAsia"/>
        </w:rPr>
        <w:t>3.7知识产权</w:t>
      </w:r>
      <w:bookmarkEnd w:id="129"/>
      <w:bookmarkEnd w:id="130"/>
      <w:bookmarkEnd w:id="131"/>
      <w:bookmarkEnd w:id="132"/>
    </w:p>
    <w:p>
      <w:pPr>
        <w:bidi w:val="0"/>
        <w:spacing w:line="360" w:lineRule="auto"/>
        <w:rPr>
          <w:rFonts w:hint="eastAsia"/>
        </w:rPr>
      </w:pPr>
      <w:r>
        <w:rPr>
          <w:rFonts w:hint="eastAsia"/>
        </w:rPr>
        <w:t>采购人在中华人民共和国境内使用投标人提供的货物及服务时免受第三方提出的侵犯其专利权或其它知识产权的起诉。如果第三方提出侵权指控，中标人应承担由此而引起的一切法律责任和费用。</w:t>
      </w:r>
    </w:p>
    <w:p>
      <w:pPr>
        <w:bidi w:val="0"/>
        <w:spacing w:line="360" w:lineRule="auto"/>
        <w:rPr>
          <w:rFonts w:hint="eastAsia"/>
        </w:rPr>
      </w:pPr>
      <w:bookmarkStart w:id="133" w:name="_Toc18050_WPSOffice_Level2"/>
      <w:bookmarkStart w:id="134" w:name="_Toc529354598"/>
      <w:bookmarkStart w:id="135" w:name="_Toc12155_WPSOffice_Level2"/>
      <w:bookmarkStart w:id="136" w:name="_Toc528157333"/>
      <w:r>
        <w:rPr>
          <w:rFonts w:hint="eastAsia"/>
        </w:rPr>
        <w:t>3.8附件、图纸及包装要求</w:t>
      </w:r>
      <w:bookmarkEnd w:id="133"/>
      <w:bookmarkEnd w:id="134"/>
      <w:bookmarkEnd w:id="135"/>
      <w:bookmarkEnd w:id="136"/>
    </w:p>
    <w:p>
      <w:pPr>
        <w:bidi w:val="0"/>
        <w:spacing w:line="360" w:lineRule="auto"/>
        <w:rPr>
          <w:rFonts w:hint="eastAsia"/>
        </w:rPr>
      </w:pPr>
      <w:bookmarkStart w:id="137" w:name="_Toc32443"/>
      <w:bookmarkStart w:id="138" w:name="_Toc528157334"/>
      <w:r>
        <w:rPr>
          <w:rFonts w:hint="eastAsia"/>
        </w:rPr>
        <w:t>所有设备按照制造商规定的产品包装和随机标准附件为准。</w:t>
      </w:r>
      <w:bookmarkEnd w:id="137"/>
      <w:bookmarkEnd w:id="138"/>
    </w:p>
    <w:p>
      <w:pPr>
        <w:bidi w:val="0"/>
        <w:spacing w:line="360" w:lineRule="auto"/>
        <w:rPr>
          <w:rFonts w:hint="eastAsia"/>
        </w:rPr>
      </w:pPr>
      <w:bookmarkStart w:id="139" w:name="_Toc25311_WPSOffice_Level2"/>
      <w:bookmarkStart w:id="140" w:name="_Toc529354599"/>
      <w:bookmarkStart w:id="141" w:name="_Toc29182_WPSOffice_Level2"/>
      <w:bookmarkStart w:id="142" w:name="_Toc481507573"/>
      <w:bookmarkStart w:id="143" w:name="_Toc528157335"/>
      <w:bookmarkStart w:id="144" w:name="_Toc267320053"/>
      <w:r>
        <w:rPr>
          <w:rFonts w:hint="eastAsia"/>
        </w:rPr>
        <w:t>3.9培训</w:t>
      </w:r>
      <w:bookmarkEnd w:id="139"/>
      <w:bookmarkEnd w:id="140"/>
      <w:bookmarkEnd w:id="141"/>
      <w:bookmarkEnd w:id="142"/>
      <w:bookmarkEnd w:id="143"/>
      <w:bookmarkEnd w:id="144"/>
    </w:p>
    <w:p>
      <w:pPr>
        <w:bidi w:val="0"/>
        <w:spacing w:line="360" w:lineRule="auto"/>
        <w:rPr>
          <w:rFonts w:hint="eastAsia"/>
        </w:rPr>
      </w:pPr>
      <w:r>
        <w:rPr>
          <w:rFonts w:hint="eastAsia"/>
        </w:rPr>
        <w:t>供应商对其提供产品的使用和操作应尽培训义务。供应商应提供对采购人的基本免费培训，使采购人使用人员能够正常操作。</w:t>
      </w:r>
    </w:p>
    <w:p>
      <w:pPr>
        <w:bidi w:val="0"/>
        <w:spacing w:line="360" w:lineRule="auto"/>
        <w:rPr>
          <w:rFonts w:hint="eastAsia"/>
        </w:rPr>
      </w:pPr>
      <w:bookmarkStart w:id="145" w:name="_Toc481507574"/>
      <w:bookmarkStart w:id="146" w:name="_Toc267320054"/>
      <w:bookmarkStart w:id="147" w:name="_Toc529354600"/>
      <w:bookmarkStart w:id="148" w:name="_Toc349_WPSOffice_Level2"/>
      <w:bookmarkStart w:id="149" w:name="_Toc6742_WPSOffice_Level2"/>
      <w:bookmarkStart w:id="150" w:name="_Toc528157336"/>
      <w:r>
        <w:rPr>
          <w:rFonts w:hint="eastAsia"/>
        </w:rPr>
        <w:t>3.10其他</w:t>
      </w:r>
      <w:bookmarkEnd w:id="145"/>
      <w:bookmarkEnd w:id="146"/>
      <w:bookmarkEnd w:id="147"/>
      <w:bookmarkEnd w:id="148"/>
      <w:bookmarkEnd w:id="149"/>
      <w:bookmarkEnd w:id="150"/>
    </w:p>
    <w:p>
      <w:pPr>
        <w:bidi w:val="0"/>
        <w:spacing w:line="360" w:lineRule="auto"/>
        <w:rPr>
          <w:rFonts w:hint="eastAsia"/>
        </w:rPr>
      </w:pPr>
      <w:r>
        <w:rPr>
          <w:rFonts w:hint="eastAsia"/>
        </w:rPr>
        <w:t>1)投标人必须在投标文件中对以上条款和服务承诺明确列出，承诺内容必须达到本篇及招标文件其他条款的要求。</w:t>
      </w:r>
    </w:p>
    <w:p>
      <w:pPr>
        <w:bidi w:val="0"/>
        <w:spacing w:line="360" w:lineRule="auto"/>
      </w:pPr>
      <w:r>
        <w:rPr>
          <w:rFonts w:hint="eastAsia"/>
        </w:rPr>
        <w:t>2)其他未尽事宜由供需双方在采购合同中详细约定。</w:t>
      </w:r>
      <w:bookmarkStart w:id="151" w:name="_Toc380006027"/>
    </w:p>
    <w:bookmarkEnd w:id="151"/>
    <w:p>
      <w:pPr>
        <w:bidi w:val="0"/>
        <w:spacing w:line="360" w:lineRule="auto"/>
        <w:rPr>
          <w:rFonts w:hint="eastAsia"/>
        </w:rPr>
      </w:pPr>
    </w:p>
    <w:p>
      <w:pPr>
        <w:bidi w:val="0"/>
        <w:spacing w:line="360" w:lineRule="auto"/>
        <w:rPr>
          <w:rFonts w:hint="eastAsia"/>
        </w:rPr>
      </w:pPr>
      <w:r>
        <w:rPr>
          <w:rFonts w:hint="eastAsia"/>
        </w:rPr>
        <w:t>评标办法</w:t>
      </w:r>
    </w:p>
    <w:p>
      <w:pPr>
        <w:bidi w:val="0"/>
        <w:spacing w:line="360" w:lineRule="auto"/>
        <w:rPr>
          <w:rFonts w:hint="eastAsia"/>
        </w:rPr>
      </w:pPr>
      <w:r>
        <w:rPr>
          <w:rFonts w:hint="eastAsia"/>
        </w:rPr>
        <w:t>本项目</w:t>
      </w:r>
      <w:r>
        <w:rPr>
          <w:rFonts w:hint="eastAsia" w:eastAsia="宋体"/>
          <w:lang w:eastAsia="zh-CN"/>
        </w:rPr>
        <w:t>以综合评分法</w:t>
      </w:r>
      <w:r>
        <w:rPr>
          <w:rFonts w:hint="eastAsia"/>
        </w:rPr>
        <w:t>进行评标。</w:t>
      </w:r>
    </w:p>
    <w:p>
      <w:pPr>
        <w:bidi w:val="0"/>
        <w:spacing w:line="360" w:lineRule="auto"/>
        <w:rPr>
          <w:rFonts w:hint="eastAsia"/>
        </w:rPr>
      </w:pPr>
      <w:r>
        <w:rPr>
          <w:rFonts w:hint="eastAsia"/>
        </w:rPr>
        <w:t>综合评分法，是指投标文件满足招标文件全部实质性要求且按照评审因素的量化指标评审得分最高的投标人为中标候选人的评标方法。投标人总得分为价格、商务、技术等评定因素分别按照相应权重值计算分项得分后相加，满分为100分。</w:t>
      </w:r>
    </w:p>
    <w:p>
      <w:pPr>
        <w:bidi w:val="0"/>
        <w:spacing w:line="360" w:lineRule="auto"/>
        <w:rPr>
          <w:rFonts w:hint="eastAsia"/>
        </w:rPr>
      </w:pPr>
      <w:r>
        <w:rPr>
          <w:rFonts w:hint="eastAsia"/>
        </w:rPr>
        <w:t xml:space="preserve">                              </w:t>
      </w:r>
    </w:p>
    <w:p>
      <w:pPr>
        <w:bidi w:val="0"/>
        <w:spacing w:line="360" w:lineRule="auto"/>
        <w:rPr>
          <w:rFonts w:hint="eastAsia"/>
        </w:rPr>
      </w:pPr>
      <w:r>
        <w:rPr>
          <w:rFonts w:hint="eastAsia"/>
        </w:rPr>
        <w:t>设备采购</w:t>
      </w:r>
      <w:r>
        <w:rPr>
          <w:rFonts w:hint="eastAsia" w:eastAsia="宋体"/>
          <w:lang w:eastAsia="zh-CN"/>
        </w:rPr>
        <w:t>评</w:t>
      </w:r>
      <w:r>
        <w:rPr>
          <w:rFonts w:hint="eastAsia"/>
        </w:rPr>
        <w:t>分表</w:t>
      </w:r>
    </w:p>
    <w:tbl>
      <w:tblPr>
        <w:tblStyle w:val="6"/>
        <w:tblpPr w:leftFromText="180" w:rightFromText="180" w:vertAnchor="text" w:horzAnchor="page" w:tblpX="1268" w:tblpY="353"/>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5039"/>
        <w:gridCol w:w="921"/>
        <w:gridCol w:w="947"/>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34" w:type="dxa"/>
            <w:gridSpan w:val="2"/>
            <w:tcBorders>
              <w:tl2br w:val="single" w:color="auto" w:sz="4" w:space="0"/>
            </w:tcBorders>
            <w:noWrap w:val="0"/>
            <w:vAlign w:val="center"/>
          </w:tcPr>
          <w:p>
            <w:pPr>
              <w:bidi w:val="0"/>
              <w:spacing w:line="360" w:lineRule="auto"/>
              <w:rPr>
                <w:rFonts w:hint="eastAsia"/>
              </w:rPr>
            </w:pPr>
            <w:r>
              <w:rPr>
                <w:rFonts w:hint="eastAsia"/>
              </w:rPr>
              <w:t xml:space="preserve">                                          评分标准</w:t>
            </w:r>
          </w:p>
          <w:p>
            <w:pPr>
              <w:bidi w:val="0"/>
              <w:spacing w:line="360" w:lineRule="auto"/>
              <w:rPr>
                <w:rFonts w:hint="eastAsia"/>
              </w:rPr>
            </w:pPr>
            <w:r>
              <w:rPr>
                <w:rFonts w:hint="eastAsia"/>
              </w:rPr>
              <w:t>评分内容</w:t>
            </w:r>
          </w:p>
        </w:tc>
        <w:tc>
          <w:tcPr>
            <w:tcW w:w="921" w:type="dxa"/>
            <w:noWrap w:val="0"/>
            <w:vAlign w:val="center"/>
          </w:tcPr>
          <w:p>
            <w:pPr>
              <w:bidi w:val="0"/>
              <w:spacing w:line="360" w:lineRule="auto"/>
              <w:rPr>
                <w:rFonts w:hint="eastAsia"/>
              </w:rPr>
            </w:pPr>
          </w:p>
        </w:tc>
        <w:tc>
          <w:tcPr>
            <w:tcW w:w="947" w:type="dxa"/>
            <w:noWrap w:val="0"/>
            <w:vAlign w:val="center"/>
          </w:tcPr>
          <w:p>
            <w:pPr>
              <w:bidi w:val="0"/>
              <w:spacing w:line="360" w:lineRule="auto"/>
              <w:rPr>
                <w:rFonts w:hint="eastAsia"/>
              </w:rPr>
            </w:pPr>
          </w:p>
        </w:tc>
        <w:tc>
          <w:tcPr>
            <w:tcW w:w="1038" w:type="dxa"/>
            <w:noWrap w:val="0"/>
            <w:vAlign w:val="center"/>
          </w:tcPr>
          <w:p>
            <w:pPr>
              <w:bidi w:val="0"/>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695" w:type="dxa"/>
            <w:tcBorders>
              <w:top w:val="nil"/>
              <w:left w:val="single" w:color="auto" w:sz="4" w:space="0"/>
              <w:bottom w:val="single" w:color="auto" w:sz="4" w:space="0"/>
              <w:right w:val="single" w:color="auto" w:sz="4" w:space="0"/>
            </w:tcBorders>
            <w:noWrap w:val="0"/>
            <w:vAlign w:val="center"/>
          </w:tcPr>
          <w:p>
            <w:pPr>
              <w:bidi w:val="0"/>
              <w:spacing w:line="360" w:lineRule="auto"/>
              <w:rPr>
                <w:rFonts w:hint="eastAsia"/>
              </w:rPr>
            </w:pPr>
            <w:r>
              <w:rPr>
                <w:rFonts w:hint="eastAsia"/>
              </w:rPr>
              <w:t>报价</w:t>
            </w:r>
          </w:p>
          <w:p>
            <w:pPr>
              <w:bidi w:val="0"/>
              <w:spacing w:line="360" w:lineRule="auto"/>
              <w:rPr>
                <w:rFonts w:hint="eastAsia"/>
              </w:rPr>
            </w:pPr>
            <w:r>
              <w:rPr>
                <w:rFonts w:hint="eastAsia"/>
              </w:rPr>
              <w:t>（</w:t>
            </w:r>
            <w:r>
              <w:rPr>
                <w:rFonts w:hint="eastAsia" w:ascii="Calibri" w:eastAsia="宋体"/>
                <w:lang w:val="en-US" w:eastAsia="zh-CN"/>
              </w:rPr>
              <w:t>50</w:t>
            </w:r>
            <w:r>
              <w:rPr>
                <w:rFonts w:hint="eastAsia"/>
              </w:rPr>
              <w:t>分）</w:t>
            </w:r>
          </w:p>
        </w:tc>
        <w:tc>
          <w:tcPr>
            <w:tcW w:w="5039"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eastAsia="宋体"/>
                <w:lang w:eastAsia="zh-CN"/>
              </w:rPr>
            </w:pPr>
            <w:r>
              <w:rPr>
                <w:rFonts w:hint="eastAsia"/>
              </w:rPr>
              <w:t>以本次最低投标报价为基准价，投标报价得分=(基准价／投标报价)*100%*</w:t>
            </w:r>
            <w:r>
              <w:rPr>
                <w:rFonts w:hint="eastAsia" w:ascii="Calibri" w:eastAsia="宋体"/>
                <w:lang w:val="en-US" w:eastAsia="zh-CN"/>
              </w:rPr>
              <w:t>50</w:t>
            </w:r>
            <w:r>
              <w:rPr>
                <w:rFonts w:hint="eastAsia"/>
              </w:rPr>
              <w:t>（为防止恶性竞争，评标委员会有权判定明显低于成本的投标报价是无效投标）</w:t>
            </w:r>
            <w:r>
              <w:rPr>
                <w:rFonts w:hint="eastAsia" w:eastAsia="宋体"/>
                <w:lang w:eastAsia="zh-CN"/>
              </w:rPr>
              <w:t>。</w:t>
            </w:r>
          </w:p>
        </w:tc>
        <w:tc>
          <w:tcPr>
            <w:tcW w:w="921"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rPr>
            </w:pPr>
          </w:p>
        </w:tc>
        <w:tc>
          <w:tcPr>
            <w:tcW w:w="947"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rPr>
            </w:pPr>
          </w:p>
        </w:tc>
        <w:tc>
          <w:tcPr>
            <w:tcW w:w="1038"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1695" w:type="dxa"/>
            <w:tcBorders>
              <w:top w:val="nil"/>
              <w:left w:val="single" w:color="auto" w:sz="4" w:space="0"/>
              <w:bottom w:val="single" w:color="auto" w:sz="4" w:space="0"/>
              <w:right w:val="single" w:color="auto" w:sz="4" w:space="0"/>
            </w:tcBorders>
            <w:noWrap w:val="0"/>
            <w:vAlign w:val="center"/>
          </w:tcPr>
          <w:p>
            <w:pPr>
              <w:bidi w:val="0"/>
              <w:spacing w:line="360" w:lineRule="auto"/>
              <w:rPr>
                <w:rFonts w:hint="eastAsia"/>
              </w:rPr>
            </w:pPr>
            <w:r>
              <w:rPr>
                <w:rFonts w:hint="eastAsia" w:ascii="Calibri" w:eastAsia="宋体"/>
                <w:lang w:val="zh-CN" w:eastAsia="zh-CN"/>
              </w:rPr>
              <w:t>生产设备能力及质量保障</w:t>
            </w:r>
            <w:r>
              <w:rPr>
                <w:rFonts w:hint="eastAsia"/>
              </w:rPr>
              <w:t>（</w:t>
            </w:r>
            <w:r>
              <w:rPr>
                <w:rFonts w:hint="eastAsia" w:ascii="Calibri" w:eastAsia="宋体"/>
                <w:lang w:val="en-US" w:eastAsia="zh-CN"/>
              </w:rPr>
              <w:t>1</w:t>
            </w:r>
            <w:r>
              <w:rPr>
                <w:rFonts w:hint="eastAsia"/>
              </w:rPr>
              <w:t>0分）</w:t>
            </w:r>
          </w:p>
        </w:tc>
        <w:tc>
          <w:tcPr>
            <w:tcW w:w="5039"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p>
            <w:pPr>
              <w:bidi w:val="0"/>
              <w:spacing w:line="360" w:lineRule="auto"/>
              <w:rPr>
                <w:rFonts w:hint="eastAsia"/>
                <w:lang w:val="zh-CN" w:eastAsia="zh-CN"/>
              </w:rPr>
            </w:pPr>
            <w:r>
              <w:rPr>
                <w:rFonts w:hint="eastAsia" w:ascii="Calibri" w:eastAsia="宋体"/>
                <w:lang w:val="zh-CN" w:eastAsia="zh-CN"/>
              </w:rPr>
              <w:t xml:space="preserve">为了保证产品加工质量，投标人具备该项目所需生产设备：金属板材数控校平开平系统、金属数控弯管机、全自动喷塑及除尘回收设备、数控转塔冲床、数控折弯设备、全自动十工位前处理流水线、全自动无尘喷涂流水线、电脑裁板锯、CNC柔性加工中心、固定式液压升降平台，有一项得1分，最多得10分。（提供购置设备发票复印件、现场车间设备图片并加盖投标人单位公章。）                                   </w:t>
            </w:r>
          </w:p>
          <w:p>
            <w:pPr>
              <w:bidi w:val="0"/>
              <w:spacing w:line="360" w:lineRule="auto"/>
              <w:rPr>
                <w:rFonts w:hint="eastAsia"/>
              </w:rPr>
            </w:pPr>
          </w:p>
        </w:tc>
        <w:tc>
          <w:tcPr>
            <w:tcW w:w="921"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rPr>
            </w:pPr>
          </w:p>
        </w:tc>
        <w:tc>
          <w:tcPr>
            <w:tcW w:w="947"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rPr>
            </w:pPr>
          </w:p>
        </w:tc>
        <w:tc>
          <w:tcPr>
            <w:tcW w:w="1038"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95" w:type="dxa"/>
            <w:tcBorders>
              <w:top w:val="nil"/>
              <w:left w:val="single" w:color="auto" w:sz="4" w:space="0"/>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技术指标、人员资质（</w:t>
            </w:r>
            <w:r>
              <w:rPr>
                <w:rFonts w:hint="eastAsia" w:ascii="Calibri" w:eastAsia="宋体"/>
                <w:lang w:val="en-US" w:eastAsia="zh-CN"/>
              </w:rPr>
              <w:t>20</w:t>
            </w:r>
            <w:r>
              <w:rPr>
                <w:rFonts w:hint="eastAsia" w:ascii="Calibri" w:eastAsia="宋体"/>
                <w:lang w:val="zh-CN" w:eastAsia="zh-CN"/>
              </w:rPr>
              <w:t>分）</w:t>
            </w:r>
          </w:p>
        </w:tc>
        <w:tc>
          <w:tcPr>
            <w:tcW w:w="5039"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1、投标人投标产品的技术参数完全满足采购文件中技术参数及要求的得</w:t>
            </w:r>
            <w:r>
              <w:rPr>
                <w:rFonts w:hint="eastAsia" w:ascii="Calibri" w:eastAsia="宋体"/>
                <w:lang w:val="en-US" w:eastAsia="zh-CN"/>
              </w:rPr>
              <w:t>10</w:t>
            </w:r>
            <w:r>
              <w:rPr>
                <w:rFonts w:hint="eastAsia" w:ascii="Calibri" w:eastAsia="宋体"/>
                <w:lang w:val="zh-CN" w:eastAsia="zh-CN"/>
              </w:rPr>
              <w:t>分。投标人投标产品的技术参数每有一项不满足采购文件中技术参数及要求的扣0.2分，扣完</w:t>
            </w:r>
            <w:r>
              <w:rPr>
                <w:rFonts w:hint="eastAsia" w:ascii="Calibri" w:eastAsia="宋体"/>
                <w:lang w:val="en-US" w:eastAsia="zh-CN"/>
              </w:rPr>
              <w:t>10</w:t>
            </w:r>
            <w:r>
              <w:rPr>
                <w:rFonts w:hint="eastAsia" w:ascii="Calibri" w:eastAsia="宋体"/>
                <w:lang w:val="zh-CN" w:eastAsia="zh-CN"/>
              </w:rPr>
              <w:t>分为止。</w:t>
            </w:r>
          </w:p>
          <w:p>
            <w:pPr>
              <w:numPr>
                <w:ilvl w:val="0"/>
                <w:numId w:val="1"/>
              </w:numPr>
              <w:bidi w:val="0"/>
              <w:spacing w:line="360" w:lineRule="auto"/>
              <w:rPr>
                <w:rFonts w:hint="eastAsia"/>
                <w:lang w:val="zh-CN" w:eastAsia="zh-CN"/>
              </w:rPr>
            </w:pPr>
            <w:r>
              <w:rPr>
                <w:rFonts w:hint="eastAsia" w:ascii="Calibri" w:eastAsia="宋体"/>
                <w:lang w:val="zh-CN" w:eastAsia="zh-CN"/>
              </w:rPr>
              <w:t>提供201</w:t>
            </w:r>
            <w:r>
              <w:rPr>
                <w:rFonts w:hint="eastAsia" w:ascii="Calibri" w:eastAsia="宋体"/>
                <w:lang w:val="en-US" w:eastAsia="zh-CN"/>
              </w:rPr>
              <w:t>8</w:t>
            </w:r>
            <w:r>
              <w:rPr>
                <w:rFonts w:hint="eastAsia" w:ascii="Calibri" w:eastAsia="宋体"/>
                <w:lang w:val="zh-CN" w:eastAsia="zh-CN"/>
              </w:rPr>
              <w:t>年以来省级或以上家具产品质量监督检验中心出具的原材料检验报告，包括不锈钢板、辊压成型隔板、辊压加筋立柱、紧固件、门板、喷塑钢制部件、静电粉末、制动装置、冷扎钢板1.0mm、铰链、锁具、拉手等，每提供1份得0.5分，最多得</w:t>
            </w:r>
            <w:r>
              <w:rPr>
                <w:rFonts w:hint="eastAsia" w:ascii="Calibri" w:eastAsia="宋体"/>
                <w:lang w:val="en-US" w:eastAsia="zh-CN"/>
              </w:rPr>
              <w:t>5</w:t>
            </w:r>
            <w:r>
              <w:rPr>
                <w:rFonts w:hint="eastAsia" w:ascii="Calibri" w:eastAsia="宋体"/>
                <w:lang w:val="zh-CN" w:eastAsia="zh-CN"/>
              </w:rPr>
              <w:t>分。（注：报告需带有CMA标识，具有清晰二维码）。</w:t>
            </w:r>
            <w:r>
              <w:rPr>
                <w:rFonts w:hint="eastAsia" w:ascii="Calibri" w:eastAsia="宋体"/>
                <w:lang w:val="en-US" w:eastAsia="zh-CN"/>
              </w:rPr>
              <w:t xml:space="preserve">                                   </w:t>
            </w:r>
          </w:p>
          <w:p>
            <w:pPr>
              <w:numPr>
                <w:ilvl w:val="0"/>
                <w:numId w:val="0"/>
              </w:numPr>
              <w:bidi w:val="0"/>
              <w:spacing w:line="360" w:lineRule="auto"/>
              <w:rPr>
                <w:rFonts w:hint="eastAsia"/>
                <w:lang w:val="zh-CN" w:eastAsia="zh-CN"/>
              </w:rPr>
            </w:pPr>
            <w:r>
              <w:rPr>
                <w:rFonts w:hint="eastAsia" w:ascii="Calibri" w:eastAsia="宋体"/>
                <w:lang w:val="en-US" w:eastAsia="zh-CN"/>
              </w:rPr>
              <w:t>3、</w:t>
            </w:r>
            <w:r>
              <w:rPr>
                <w:rFonts w:hint="eastAsia" w:ascii="Calibri" w:eastAsia="宋体"/>
                <w:lang w:val="zh-CN" w:eastAsia="zh-CN"/>
              </w:rPr>
              <w:t>具备家具行业专业技术人员，提供由人力资源和社会保障局颁发的职业资格证书（包含：企业人力资源管理师、计算机操作员、数控车工、焊工、电工、钳工、无损检测员、化学检验工、电子设备装接工、维修电工等）及近半年社会保险个人参保缴费证明复印件，每提供1个工种得1分，最多得</w:t>
            </w:r>
            <w:r>
              <w:rPr>
                <w:rFonts w:hint="eastAsia" w:ascii="Calibri" w:eastAsia="宋体"/>
                <w:lang w:val="en-US" w:eastAsia="zh-CN"/>
              </w:rPr>
              <w:t>5</w:t>
            </w:r>
            <w:r>
              <w:rPr>
                <w:rFonts w:hint="eastAsia" w:ascii="Calibri" w:eastAsia="宋体"/>
                <w:lang w:val="zh-CN" w:eastAsia="zh-CN"/>
              </w:rPr>
              <w:t>分。</w:t>
            </w:r>
          </w:p>
        </w:tc>
        <w:tc>
          <w:tcPr>
            <w:tcW w:w="921"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947"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1038"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695" w:type="dxa"/>
            <w:tcBorders>
              <w:top w:val="nil"/>
              <w:left w:val="single" w:color="auto" w:sz="4" w:space="0"/>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质量及环保保障（10分）</w:t>
            </w:r>
          </w:p>
        </w:tc>
        <w:tc>
          <w:tcPr>
            <w:tcW w:w="5039"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1.提供201</w:t>
            </w:r>
            <w:r>
              <w:rPr>
                <w:rFonts w:hint="eastAsia" w:ascii="Calibri" w:eastAsia="宋体"/>
                <w:lang w:val="en-US" w:eastAsia="zh-CN"/>
              </w:rPr>
              <w:t>8</w:t>
            </w:r>
            <w:r>
              <w:rPr>
                <w:rFonts w:hint="eastAsia" w:ascii="Calibri" w:eastAsia="宋体"/>
                <w:lang w:val="zh-CN" w:eastAsia="zh-CN"/>
              </w:rPr>
              <w:t>年以来省级或以上密集柜产品质量监督检验中心出具的检验报告得5分，不提供不得分。</w:t>
            </w:r>
          </w:p>
          <w:p>
            <w:pPr>
              <w:bidi w:val="0"/>
              <w:spacing w:line="360" w:lineRule="auto"/>
              <w:rPr>
                <w:rFonts w:hint="default"/>
                <w:lang w:val="en-US" w:eastAsia="zh-CN"/>
              </w:rPr>
            </w:pPr>
            <w:r>
              <w:rPr>
                <w:rFonts w:hint="eastAsia" w:ascii="Calibri" w:eastAsia="宋体"/>
                <w:lang w:val="zh-CN" w:eastAsia="zh-CN"/>
              </w:rPr>
              <w:t>2.投标产品获得ISO9001质量管理体系认证、ISO14001环境管理体系认证、职业健康安全管理体系认证（证书验证范围需包含密集架的生产或销售服务）提供齐全得5分，少提供一项扣</w:t>
            </w:r>
            <w:r>
              <w:rPr>
                <w:rFonts w:hint="eastAsia" w:ascii="Calibri" w:eastAsia="宋体"/>
                <w:lang w:val="en-US" w:eastAsia="zh-CN"/>
              </w:rPr>
              <w:t>1分</w:t>
            </w:r>
            <w:r>
              <w:rPr>
                <w:rFonts w:hint="eastAsia" w:ascii="Calibri" w:eastAsia="宋体"/>
                <w:lang w:val="zh-CN" w:eastAsia="zh-CN"/>
              </w:rPr>
              <w:t>。</w:t>
            </w:r>
          </w:p>
        </w:tc>
        <w:tc>
          <w:tcPr>
            <w:tcW w:w="921"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947"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1038"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售后服务</w:t>
            </w:r>
          </w:p>
          <w:p>
            <w:pPr>
              <w:bidi w:val="0"/>
              <w:spacing w:line="360" w:lineRule="auto"/>
              <w:rPr>
                <w:rFonts w:hint="eastAsia"/>
                <w:lang w:val="zh-CN" w:eastAsia="zh-CN"/>
              </w:rPr>
            </w:pPr>
            <w:r>
              <w:rPr>
                <w:rFonts w:hint="eastAsia" w:ascii="Calibri" w:eastAsia="宋体"/>
                <w:lang w:val="zh-CN" w:eastAsia="zh-CN"/>
              </w:rPr>
              <w:t>（</w:t>
            </w:r>
            <w:r>
              <w:rPr>
                <w:rFonts w:hint="eastAsia" w:ascii="Calibri" w:eastAsia="宋体"/>
                <w:lang w:val="en-US" w:eastAsia="zh-CN"/>
              </w:rPr>
              <w:t>5</w:t>
            </w:r>
            <w:r>
              <w:rPr>
                <w:rFonts w:hint="eastAsia" w:ascii="Calibri" w:eastAsia="宋体"/>
                <w:lang w:val="zh-CN" w:eastAsia="zh-CN"/>
              </w:rPr>
              <w:t>分）</w:t>
            </w:r>
          </w:p>
        </w:tc>
        <w:tc>
          <w:tcPr>
            <w:tcW w:w="5039"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宋体" w:hAnsi="宋体" w:cs="宋体"/>
                <w:color w:val="000000"/>
                <w:szCs w:val="21"/>
              </w:rPr>
              <w:t>1</w:t>
            </w:r>
            <w:r>
              <w:rPr>
                <w:rFonts w:hint="eastAsia" w:ascii="Calibri" w:eastAsia="宋体"/>
                <w:lang w:val="zh-CN" w:eastAsia="zh-CN"/>
              </w:rPr>
              <w:t>、提供五星级《售后服务认证证书》（认证范围：办公家具的研发设计、技术支持、配送安装、维修服务、投诉处理及其相应体系，覆盖范围包括四川省）得</w:t>
            </w:r>
            <w:r>
              <w:rPr>
                <w:rFonts w:hint="eastAsia" w:ascii="Calibri" w:eastAsia="宋体"/>
                <w:lang w:val="en-US" w:eastAsia="zh-CN"/>
              </w:rPr>
              <w:t>3</w:t>
            </w:r>
            <w:r>
              <w:rPr>
                <w:rFonts w:hint="eastAsia" w:ascii="Calibri" w:eastAsia="宋体"/>
                <w:lang w:val="zh-CN" w:eastAsia="zh-CN"/>
              </w:rPr>
              <w:t>分。</w:t>
            </w:r>
          </w:p>
          <w:p>
            <w:pPr>
              <w:bidi w:val="0"/>
              <w:spacing w:line="360" w:lineRule="auto"/>
              <w:rPr>
                <w:rFonts w:hint="eastAsia"/>
                <w:lang w:val="zh-CN" w:eastAsia="zh-CN"/>
              </w:rPr>
            </w:pPr>
            <w:r>
              <w:rPr>
                <w:rFonts w:hint="eastAsia" w:ascii="Calibri" w:eastAsia="宋体"/>
                <w:lang w:val="zh-CN" w:eastAsia="zh-CN"/>
              </w:rPr>
              <w:t>2、具有较强的本地化售后服务能力，在项目地范围设有生产基地或办事处（提供营业执照或购房租房合同），得1分。</w:t>
            </w:r>
          </w:p>
          <w:p>
            <w:pPr>
              <w:bidi w:val="0"/>
              <w:spacing w:line="360" w:lineRule="auto"/>
              <w:rPr>
                <w:rFonts w:hint="eastAsia"/>
                <w:lang w:val="zh-CN" w:eastAsia="zh-CN"/>
              </w:rPr>
            </w:pPr>
            <w:r>
              <w:rPr>
                <w:rFonts w:hint="eastAsia" w:ascii="Calibri" w:eastAsia="宋体"/>
                <w:lang w:val="zh-CN" w:eastAsia="zh-CN"/>
              </w:rPr>
              <w:t>3、按照中华人民共和国国家标准《商品售后服务评价体系》（GB/T 27922）综合评价，连续两届获得“全国售后服务先进单位”称号得</w:t>
            </w:r>
            <w:r>
              <w:rPr>
                <w:rFonts w:hint="eastAsia" w:ascii="Calibri" w:eastAsia="宋体"/>
                <w:lang w:val="en-US" w:eastAsia="zh-CN"/>
              </w:rPr>
              <w:t>1</w:t>
            </w:r>
            <w:r>
              <w:rPr>
                <w:rFonts w:hint="eastAsia" w:ascii="Calibri" w:eastAsia="宋体"/>
                <w:lang w:val="zh-CN" w:eastAsia="zh-CN"/>
              </w:rPr>
              <w:t>分。</w:t>
            </w:r>
          </w:p>
        </w:tc>
        <w:tc>
          <w:tcPr>
            <w:tcW w:w="921"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947"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1038"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成功案例，既往业绩（</w:t>
            </w:r>
            <w:r>
              <w:rPr>
                <w:rFonts w:hint="eastAsia" w:ascii="Calibri" w:eastAsia="宋体"/>
                <w:lang w:val="en-US" w:eastAsia="zh-CN"/>
              </w:rPr>
              <w:t>3</w:t>
            </w:r>
            <w:r>
              <w:rPr>
                <w:rFonts w:hint="eastAsia" w:ascii="Calibri" w:eastAsia="宋体"/>
                <w:lang w:val="zh-CN" w:eastAsia="zh-CN"/>
              </w:rPr>
              <w:t>分)</w:t>
            </w:r>
          </w:p>
        </w:tc>
        <w:tc>
          <w:tcPr>
            <w:tcW w:w="5039"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rPr>
              <w:t>投标人自201</w:t>
            </w:r>
            <w:r>
              <w:rPr>
                <w:rFonts w:hint="eastAsia" w:ascii="Calibri" w:eastAsia="宋体"/>
                <w:lang w:val="en-US" w:eastAsia="zh-CN"/>
              </w:rPr>
              <w:t>6</w:t>
            </w:r>
            <w:r>
              <w:rPr>
                <w:rFonts w:hint="eastAsia"/>
              </w:rPr>
              <w:t>年以来每有1个</w:t>
            </w:r>
            <w:r>
              <w:rPr>
                <w:rFonts w:hint="eastAsia" w:ascii="Calibri" w:eastAsia="宋体"/>
                <w:lang w:val="en-US" w:eastAsia="zh-CN"/>
              </w:rPr>
              <w:t>30万以上的</w:t>
            </w:r>
            <w:r>
              <w:rPr>
                <w:rFonts w:hint="eastAsia"/>
              </w:rPr>
              <w:t>类似业绩得</w:t>
            </w:r>
            <w:r>
              <w:rPr>
                <w:rFonts w:hint="eastAsia" w:ascii="Calibri" w:eastAsia="宋体"/>
                <w:lang w:val="en-US" w:eastAsia="zh-CN"/>
              </w:rPr>
              <w:t>1</w:t>
            </w:r>
            <w:r>
              <w:rPr>
                <w:rFonts w:hint="eastAsia"/>
              </w:rPr>
              <w:t>分，最多</w:t>
            </w:r>
            <w:r>
              <w:rPr>
                <w:rFonts w:hint="eastAsia" w:ascii="Calibri" w:eastAsia="宋体"/>
                <w:lang w:val="zh-CN" w:eastAsia="zh-CN"/>
              </w:rPr>
              <w:t>得</w:t>
            </w:r>
            <w:r>
              <w:rPr>
                <w:rFonts w:hint="eastAsia" w:ascii="Calibri" w:eastAsia="宋体"/>
                <w:lang w:val="en-US" w:eastAsia="zh-CN"/>
              </w:rPr>
              <w:t>3</w:t>
            </w:r>
            <w:r>
              <w:rPr>
                <w:rFonts w:hint="eastAsia"/>
              </w:rPr>
              <w:t>分。每个业绩需提供</w:t>
            </w:r>
            <w:r>
              <w:rPr>
                <w:rFonts w:hint="eastAsia" w:eastAsia="宋体"/>
                <w:lang w:eastAsia="zh-CN"/>
              </w:rPr>
              <w:t>相关</w:t>
            </w:r>
            <w:r>
              <w:rPr>
                <w:rFonts w:hint="eastAsia"/>
              </w:rPr>
              <w:t>证明材料。</w:t>
            </w:r>
          </w:p>
        </w:tc>
        <w:tc>
          <w:tcPr>
            <w:tcW w:w="921"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947"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1038"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投标文件编写规范性（</w:t>
            </w:r>
            <w:r>
              <w:rPr>
                <w:rFonts w:hint="eastAsia" w:ascii="Calibri" w:eastAsia="宋体"/>
                <w:lang w:val="en-US" w:eastAsia="zh-CN"/>
              </w:rPr>
              <w:t>2</w:t>
            </w:r>
            <w:r>
              <w:rPr>
                <w:rFonts w:hint="eastAsia" w:ascii="Calibri" w:eastAsia="宋体"/>
                <w:lang w:val="zh-CN" w:eastAsia="zh-CN"/>
              </w:rPr>
              <w:t>分）</w:t>
            </w:r>
          </w:p>
        </w:tc>
        <w:tc>
          <w:tcPr>
            <w:tcW w:w="5039"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投标文件制作完整、格式规范、装订整齐、无涂改插字现象，易于评委审查的得2分；每有一项偏差扣0.5分，扣完为止。</w:t>
            </w:r>
          </w:p>
        </w:tc>
        <w:tc>
          <w:tcPr>
            <w:tcW w:w="921"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947"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1038"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6734" w:type="dxa"/>
            <w:gridSpan w:val="2"/>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总分（100分）</w:t>
            </w:r>
          </w:p>
        </w:tc>
        <w:tc>
          <w:tcPr>
            <w:tcW w:w="921"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947"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1038"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评审人签字</w:t>
            </w:r>
          </w:p>
        </w:tc>
        <w:tc>
          <w:tcPr>
            <w:tcW w:w="5039"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c>
          <w:tcPr>
            <w:tcW w:w="921" w:type="dxa"/>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r>
              <w:rPr>
                <w:rFonts w:hint="eastAsia" w:ascii="Calibri" w:eastAsia="宋体"/>
                <w:lang w:val="zh-CN" w:eastAsia="zh-CN"/>
              </w:rPr>
              <w:t>日期</w:t>
            </w:r>
          </w:p>
        </w:tc>
        <w:tc>
          <w:tcPr>
            <w:tcW w:w="1985" w:type="dxa"/>
            <w:gridSpan w:val="2"/>
            <w:tcBorders>
              <w:top w:val="single" w:color="auto" w:sz="4" w:space="0"/>
              <w:left w:val="nil"/>
              <w:bottom w:val="single" w:color="auto" w:sz="4" w:space="0"/>
              <w:right w:val="single" w:color="auto" w:sz="4" w:space="0"/>
            </w:tcBorders>
            <w:noWrap w:val="0"/>
            <w:vAlign w:val="center"/>
          </w:tcPr>
          <w:p>
            <w:pPr>
              <w:bidi w:val="0"/>
              <w:spacing w:line="360" w:lineRule="auto"/>
              <w:rPr>
                <w:rFonts w:hint="eastAsia"/>
                <w:lang w:val="zh-CN" w:eastAsia="zh-CN"/>
              </w:rPr>
            </w:pPr>
          </w:p>
        </w:tc>
      </w:tr>
    </w:tbl>
    <w:p>
      <w:pPr>
        <w:bidi w:val="0"/>
        <w:spacing w:line="360" w:lineRule="auto"/>
        <w:rPr>
          <w:rFonts w:hint="eastAsia"/>
        </w:rPr>
      </w:pPr>
      <w:r>
        <w:rPr>
          <w:rFonts w:hint="eastAsia" w:ascii="Calibri" w:eastAsia="宋体"/>
          <w:lang w:val="zh-CN" w:eastAsia="zh-CN"/>
        </w:rPr>
        <w:t xml:space="preserve">             </w:t>
      </w:r>
      <w:r>
        <w:rPr>
          <w:rFonts w:hint="eastAsia"/>
        </w:rPr>
        <w:t xml:space="preserve">                             </w:t>
      </w:r>
    </w:p>
    <w:p>
      <w:pPr>
        <w:bidi w:val="0"/>
        <w:spacing w:line="360" w:lineRule="auto"/>
        <w:rPr>
          <w:rFonts w:hint="eastAsia"/>
        </w:rPr>
      </w:pPr>
    </w:p>
    <w:p>
      <w:pPr>
        <w:bidi w:val="0"/>
        <w:spacing w:line="360" w:lineRule="auto"/>
        <w:rPr>
          <w:rFonts w:hint="eastAsia"/>
        </w:rPr>
      </w:pPr>
      <w:bookmarkStart w:id="152" w:name="_Toc214858827"/>
      <w:bookmarkStart w:id="153" w:name="_Toc181520571"/>
      <w:bookmarkStart w:id="154" w:name="_Toc16254"/>
      <w:bookmarkStart w:id="155" w:name="_Toc204575944"/>
      <w:bookmarkStart w:id="156" w:name="_Toc181610967"/>
      <w:bookmarkStart w:id="157" w:name="_Toc181591161"/>
      <w:r>
        <w:rPr>
          <w:rFonts w:hint="eastAsia"/>
        </w:rPr>
        <w:br w:type="page"/>
      </w:r>
      <w:r>
        <w:rPr>
          <w:rFonts w:hint="eastAsia"/>
        </w:rPr>
        <w:t>投标文件格式</w:t>
      </w:r>
    </w:p>
    <w:p>
      <w:pPr>
        <w:bidi w:val="0"/>
        <w:spacing w:line="360" w:lineRule="auto"/>
      </w:pPr>
      <w:bookmarkStart w:id="158" w:name="_Toc27279_WPSOffice_Level2"/>
      <w:bookmarkStart w:id="159" w:name="_Toc17369_WPSOffice_Level2"/>
      <w:r>
        <w:rPr>
          <w:rFonts w:hint="eastAsia"/>
        </w:rPr>
        <w:t>5.1投标函格式</w:t>
      </w:r>
      <w:bookmarkEnd w:id="152"/>
      <w:bookmarkEnd w:id="153"/>
      <w:bookmarkEnd w:id="154"/>
      <w:bookmarkEnd w:id="158"/>
      <w:bookmarkEnd w:id="159"/>
    </w:p>
    <w:p>
      <w:pPr>
        <w:bidi w:val="0"/>
        <w:spacing w:line="360" w:lineRule="auto"/>
        <w:rPr>
          <w:rFonts w:hint="eastAsia"/>
        </w:rPr>
      </w:pPr>
      <w:r>
        <w:rPr>
          <w:rFonts w:hint="eastAsia"/>
        </w:rPr>
        <w:t>核工业成都机电学校：</w:t>
      </w:r>
    </w:p>
    <w:p>
      <w:pPr>
        <w:bidi w:val="0"/>
        <w:spacing w:line="360" w:lineRule="auto"/>
        <w:ind w:firstLine="480" w:firstLineChars="200"/>
        <w:rPr>
          <w:rFonts w:hint="eastAsia"/>
        </w:rPr>
      </w:pPr>
      <w:r>
        <w:rPr>
          <w:rFonts w:hint="eastAsia"/>
        </w:rPr>
        <w:t>我方全面研究了“核工业成都机电学校密集柜采购项目”招标文件，决定参加贵单位组织的（核工业成都机电学校密集柜采购项目）的投标。我方授权</w:t>
      </w:r>
      <w:r>
        <w:rPr>
          <w:rFonts w:hint="eastAsia" w:ascii="Calibri" w:eastAsia="宋体"/>
          <w:lang w:val="en-US" w:eastAsia="zh-CN"/>
        </w:rPr>
        <w:t xml:space="preserve">  </w:t>
      </w:r>
      <w:r>
        <w:rPr>
          <w:rFonts w:hint="eastAsia"/>
        </w:rPr>
        <w:t xml:space="preserve">           </w:t>
      </w:r>
      <w:r>
        <w:rPr>
          <w:rFonts w:hint="eastAsia" w:ascii="Calibri" w:eastAsia="宋体"/>
          <w:lang w:val="en-US" w:eastAsia="zh-CN"/>
        </w:rPr>
        <w:t xml:space="preserve">  </w:t>
      </w:r>
      <w:r>
        <w:rPr>
          <w:rFonts w:hint="eastAsia"/>
        </w:rPr>
        <w:t>（姓名、职务）代表我方             （投标单位的名称）全权处理本项目投标的有关事宜。</w:t>
      </w:r>
    </w:p>
    <w:p>
      <w:pPr>
        <w:bidi w:val="0"/>
        <w:spacing w:line="360" w:lineRule="auto"/>
        <w:rPr>
          <w:rFonts w:hint="eastAsia"/>
        </w:rPr>
      </w:pPr>
      <w:r>
        <w:rPr>
          <w:rFonts w:hint="eastAsia"/>
        </w:rPr>
        <w:t>我方自愿按照招标文件规定的各项要求向采购人提供所需货物及服务，投标价为人民币        万元（大写：           ）。</w:t>
      </w:r>
    </w:p>
    <w:p>
      <w:pPr>
        <w:bidi w:val="0"/>
        <w:spacing w:line="360" w:lineRule="auto"/>
        <w:rPr>
          <w:rFonts w:hint="eastAsia"/>
        </w:rPr>
      </w:pPr>
      <w:r>
        <w:rPr>
          <w:rFonts w:hint="eastAsia"/>
        </w:rPr>
        <w:t>2、我方已详细阅读和审查了全部招标文件，包括修改文件（如有）以及全部相关资料和有关附件，并对上述文件均无异议。</w:t>
      </w:r>
    </w:p>
    <w:p>
      <w:pPr>
        <w:bidi w:val="0"/>
        <w:spacing w:line="360" w:lineRule="auto"/>
        <w:rPr>
          <w:rFonts w:hint="eastAsia"/>
        </w:rPr>
      </w:pPr>
      <w:r>
        <w:rPr>
          <w:rFonts w:hint="eastAsia"/>
        </w:rPr>
        <w:t>3、一旦我方中标，我方将严格履行合同规定的责任和义务，保证于合同签订后      日内完成项目的安装、调试，并交付采购人验收、使用，否则将承担由此产生的一切责任。</w:t>
      </w:r>
    </w:p>
    <w:p>
      <w:pPr>
        <w:bidi w:val="0"/>
        <w:spacing w:line="360" w:lineRule="auto"/>
        <w:rPr>
          <w:rFonts w:hint="eastAsia"/>
        </w:rPr>
      </w:pPr>
      <w:r>
        <w:rPr>
          <w:rFonts w:hint="eastAsia"/>
        </w:rPr>
        <w:t>4、我方为本项目提交的投标文件正本壹份，副本</w:t>
      </w:r>
      <w:r>
        <w:rPr>
          <w:rFonts w:hint="eastAsia" w:eastAsia="宋体"/>
          <w:lang w:eastAsia="zh-CN"/>
        </w:rPr>
        <w:t>壹</w:t>
      </w:r>
      <w:r>
        <w:rPr>
          <w:rFonts w:hint="eastAsia"/>
        </w:rPr>
        <w:t>份，用于开标唱标的“开标一览表”一份。</w:t>
      </w:r>
    </w:p>
    <w:p>
      <w:pPr>
        <w:bidi w:val="0"/>
        <w:spacing w:line="360" w:lineRule="auto"/>
        <w:rPr>
          <w:rFonts w:hint="eastAsia"/>
        </w:rPr>
      </w:pPr>
      <w:r>
        <w:rPr>
          <w:rFonts w:hint="eastAsia"/>
        </w:rPr>
        <w:t>5、我方同意提供本项目评标委员会可能另外要求的，与投标有关的文件资料，并保证我方已提供和将要提供的文件资料及其来源是真实、准确和合法的，并对我方提供的文件资料及其来源的真实性、准确性和合法性负责。</w:t>
      </w:r>
    </w:p>
    <w:p>
      <w:pPr>
        <w:bidi w:val="0"/>
        <w:spacing w:line="360" w:lineRule="auto"/>
        <w:rPr>
          <w:rFonts w:hint="eastAsia"/>
        </w:rPr>
      </w:pPr>
      <w:r>
        <w:rPr>
          <w:rFonts w:hint="eastAsia"/>
        </w:rPr>
        <w:t>6、我方完全理解采购人不一定将合同授予最低报价的投标人、“满足我单位要求的前提下，以评价优秀价格最低的投标人做为中标商”的行为。</w:t>
      </w:r>
    </w:p>
    <w:p>
      <w:pPr>
        <w:bidi w:val="0"/>
        <w:spacing w:line="360" w:lineRule="auto"/>
        <w:rPr>
          <w:rFonts w:hint="eastAsia"/>
        </w:rPr>
      </w:pPr>
    </w:p>
    <w:p>
      <w:pPr>
        <w:bidi w:val="0"/>
        <w:spacing w:line="360" w:lineRule="auto"/>
        <w:rPr>
          <w:rFonts w:hint="eastAsia"/>
        </w:rPr>
      </w:pPr>
      <w:r>
        <w:rPr>
          <w:rFonts w:hint="eastAsia"/>
        </w:rPr>
        <w:t>投标人名称：                      （加盖公章）</w:t>
      </w:r>
    </w:p>
    <w:p>
      <w:pPr>
        <w:bidi w:val="0"/>
        <w:spacing w:line="360" w:lineRule="auto"/>
        <w:rPr>
          <w:rFonts w:hint="eastAsia"/>
        </w:rPr>
      </w:pPr>
      <w:r>
        <w:rPr>
          <w:rFonts w:hint="eastAsia"/>
        </w:rPr>
        <w:t>法定代表人或代理人：        （签字）</w:t>
      </w:r>
    </w:p>
    <w:p>
      <w:pPr>
        <w:bidi w:val="0"/>
        <w:spacing w:line="360" w:lineRule="auto"/>
        <w:rPr>
          <w:rFonts w:hint="eastAsia"/>
        </w:rPr>
      </w:pPr>
      <w:r>
        <w:rPr>
          <w:rFonts w:hint="eastAsia"/>
        </w:rPr>
        <w:t xml:space="preserve">日     期：             </w:t>
      </w:r>
    </w:p>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pPr>
      <w:bookmarkStart w:id="160" w:name="_Toc101515350"/>
      <w:bookmarkStart w:id="161" w:name="_Toc214858828"/>
      <w:bookmarkStart w:id="162" w:name="_Toc10547"/>
      <w:bookmarkStart w:id="163" w:name="_Toc181520572"/>
      <w:r>
        <w:rPr>
          <w:rFonts w:hint="eastAsia"/>
        </w:rPr>
        <w:br w:type="page"/>
      </w:r>
      <w:bookmarkStart w:id="164" w:name="_Toc21735_WPSOffice_Level2"/>
      <w:bookmarkStart w:id="165" w:name="_Toc14043_WPSOffice_Level2"/>
      <w:r>
        <w:rPr>
          <w:rFonts w:hint="eastAsia"/>
        </w:rPr>
        <w:t>5.2开标一览表</w:t>
      </w:r>
      <w:bookmarkEnd w:id="160"/>
      <w:r>
        <w:rPr>
          <w:rFonts w:hint="eastAsia"/>
        </w:rPr>
        <w:t>格式</w:t>
      </w:r>
      <w:bookmarkEnd w:id="161"/>
      <w:bookmarkEnd w:id="162"/>
      <w:bookmarkEnd w:id="163"/>
      <w:bookmarkEnd w:id="164"/>
      <w:bookmarkEnd w:id="165"/>
    </w:p>
    <w:p>
      <w:pPr>
        <w:bidi w:val="0"/>
        <w:spacing w:line="360" w:lineRule="auto"/>
      </w:pPr>
      <w:r>
        <w:rPr>
          <w:rFonts w:hint="eastAsia"/>
        </w:rPr>
        <w:t>项目名称：核工业成都机电学校密集柜采购项目</w:t>
      </w:r>
    </w:p>
    <w:tbl>
      <w:tblPr>
        <w:tblStyle w:val="6"/>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66"/>
        <w:gridCol w:w="1440"/>
        <w:gridCol w:w="720"/>
        <w:gridCol w:w="1260"/>
        <w:gridCol w:w="1260"/>
        <w:gridCol w:w="900"/>
        <w:gridCol w:w="126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24" w:type="dxa"/>
            <w:noWrap w:val="0"/>
            <w:vAlign w:val="center"/>
          </w:tcPr>
          <w:p>
            <w:pPr>
              <w:bidi w:val="0"/>
              <w:spacing w:line="360" w:lineRule="auto"/>
              <w:rPr>
                <w:rFonts w:hint="eastAsia"/>
              </w:rPr>
            </w:pPr>
            <w:r>
              <w:rPr>
                <w:rFonts w:hint="eastAsia"/>
              </w:rPr>
              <w:t>序号</w:t>
            </w:r>
          </w:p>
        </w:tc>
        <w:tc>
          <w:tcPr>
            <w:tcW w:w="766" w:type="dxa"/>
            <w:noWrap w:val="0"/>
            <w:vAlign w:val="center"/>
          </w:tcPr>
          <w:p>
            <w:pPr>
              <w:bidi w:val="0"/>
              <w:spacing w:line="360" w:lineRule="auto"/>
              <w:rPr>
                <w:rFonts w:hint="eastAsia"/>
              </w:rPr>
            </w:pPr>
            <w:r>
              <w:rPr>
                <w:rFonts w:hint="eastAsia"/>
              </w:rPr>
              <w:t>项目</w:t>
            </w:r>
          </w:p>
          <w:p>
            <w:pPr>
              <w:bidi w:val="0"/>
              <w:spacing w:line="360" w:lineRule="auto"/>
              <w:rPr>
                <w:rFonts w:hint="eastAsia"/>
              </w:rPr>
            </w:pPr>
            <w:r>
              <w:rPr>
                <w:rFonts w:hint="eastAsia"/>
              </w:rPr>
              <w:t>名称</w:t>
            </w:r>
          </w:p>
        </w:tc>
        <w:tc>
          <w:tcPr>
            <w:tcW w:w="1440" w:type="dxa"/>
            <w:noWrap w:val="0"/>
            <w:vAlign w:val="center"/>
          </w:tcPr>
          <w:p>
            <w:pPr>
              <w:bidi w:val="0"/>
              <w:spacing w:line="360" w:lineRule="auto"/>
              <w:rPr>
                <w:rFonts w:hint="eastAsia"/>
              </w:rPr>
            </w:pPr>
            <w:r>
              <w:rPr>
                <w:rFonts w:hint="eastAsia"/>
              </w:rPr>
              <w:t>制造商家及</w:t>
            </w:r>
          </w:p>
          <w:p>
            <w:pPr>
              <w:bidi w:val="0"/>
              <w:spacing w:line="360" w:lineRule="auto"/>
              <w:rPr>
                <w:rFonts w:hint="eastAsia"/>
              </w:rPr>
            </w:pPr>
            <w:r>
              <w:rPr>
                <w:rFonts w:hint="eastAsia"/>
              </w:rPr>
              <w:t>规格型号</w:t>
            </w:r>
          </w:p>
        </w:tc>
        <w:tc>
          <w:tcPr>
            <w:tcW w:w="720" w:type="dxa"/>
            <w:noWrap w:val="0"/>
            <w:vAlign w:val="center"/>
          </w:tcPr>
          <w:p>
            <w:pPr>
              <w:bidi w:val="0"/>
              <w:spacing w:line="360" w:lineRule="auto"/>
              <w:rPr>
                <w:rFonts w:hint="eastAsia"/>
              </w:rPr>
            </w:pPr>
            <w:r>
              <w:rPr>
                <w:rFonts w:hint="eastAsia"/>
              </w:rPr>
              <w:t>数量</w:t>
            </w:r>
          </w:p>
        </w:tc>
        <w:tc>
          <w:tcPr>
            <w:tcW w:w="1260" w:type="dxa"/>
            <w:noWrap w:val="0"/>
            <w:vAlign w:val="center"/>
          </w:tcPr>
          <w:p>
            <w:pPr>
              <w:bidi w:val="0"/>
              <w:spacing w:line="360" w:lineRule="auto"/>
              <w:rPr>
                <w:rFonts w:hint="eastAsia"/>
              </w:rPr>
            </w:pPr>
            <w:r>
              <w:rPr>
                <w:rFonts w:hint="eastAsia"/>
              </w:rPr>
              <w:t>投标单价</w:t>
            </w:r>
          </w:p>
          <w:p>
            <w:pPr>
              <w:bidi w:val="0"/>
              <w:spacing w:line="360" w:lineRule="auto"/>
              <w:rPr>
                <w:rFonts w:hint="eastAsia"/>
              </w:rPr>
            </w:pPr>
            <w:r>
              <w:rPr>
                <w:rFonts w:hint="eastAsia"/>
              </w:rPr>
              <w:t>（万元）</w:t>
            </w:r>
          </w:p>
        </w:tc>
        <w:tc>
          <w:tcPr>
            <w:tcW w:w="1260" w:type="dxa"/>
            <w:noWrap w:val="0"/>
            <w:vAlign w:val="center"/>
          </w:tcPr>
          <w:p>
            <w:pPr>
              <w:bidi w:val="0"/>
              <w:spacing w:line="360" w:lineRule="auto"/>
              <w:rPr>
                <w:rFonts w:hint="eastAsia"/>
              </w:rPr>
            </w:pPr>
            <w:r>
              <w:rPr>
                <w:rFonts w:hint="eastAsia"/>
              </w:rPr>
              <w:t>投标总价</w:t>
            </w:r>
          </w:p>
          <w:p>
            <w:pPr>
              <w:bidi w:val="0"/>
              <w:spacing w:line="360" w:lineRule="auto"/>
              <w:rPr>
                <w:rFonts w:hint="eastAsia"/>
              </w:rPr>
            </w:pPr>
            <w:r>
              <w:rPr>
                <w:rFonts w:hint="eastAsia"/>
              </w:rPr>
              <w:t>（万元）</w:t>
            </w:r>
          </w:p>
        </w:tc>
        <w:tc>
          <w:tcPr>
            <w:tcW w:w="900" w:type="dxa"/>
            <w:noWrap w:val="0"/>
            <w:vAlign w:val="center"/>
          </w:tcPr>
          <w:p>
            <w:pPr>
              <w:bidi w:val="0"/>
              <w:spacing w:line="360" w:lineRule="auto"/>
              <w:rPr>
                <w:rFonts w:hint="eastAsia"/>
              </w:rPr>
            </w:pPr>
            <w:r>
              <w:rPr>
                <w:rFonts w:hint="eastAsia"/>
              </w:rPr>
              <w:t>交货</w:t>
            </w:r>
          </w:p>
          <w:p>
            <w:pPr>
              <w:bidi w:val="0"/>
              <w:spacing w:line="360" w:lineRule="auto"/>
              <w:rPr>
                <w:rFonts w:hint="eastAsia"/>
              </w:rPr>
            </w:pPr>
            <w:r>
              <w:rPr>
                <w:rFonts w:hint="eastAsia"/>
              </w:rPr>
              <w:t>时间</w:t>
            </w:r>
          </w:p>
        </w:tc>
        <w:tc>
          <w:tcPr>
            <w:tcW w:w="1260" w:type="dxa"/>
            <w:noWrap w:val="0"/>
            <w:vAlign w:val="center"/>
          </w:tcPr>
          <w:p>
            <w:pPr>
              <w:bidi w:val="0"/>
              <w:spacing w:line="360" w:lineRule="auto"/>
              <w:rPr>
                <w:rFonts w:hint="eastAsia"/>
              </w:rPr>
            </w:pPr>
            <w:r>
              <w:rPr>
                <w:rFonts w:hint="eastAsia"/>
              </w:rPr>
              <w:t>是否属于进口产品</w:t>
            </w:r>
          </w:p>
        </w:tc>
        <w:tc>
          <w:tcPr>
            <w:tcW w:w="902" w:type="dxa"/>
            <w:noWrap w:val="0"/>
            <w:vAlign w:val="center"/>
          </w:tcPr>
          <w:p>
            <w:pPr>
              <w:bidi w:val="0"/>
              <w:spacing w:line="360" w:lineRule="auto"/>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24" w:type="dxa"/>
            <w:noWrap w:val="0"/>
            <w:vAlign w:val="top"/>
          </w:tcPr>
          <w:p>
            <w:pPr>
              <w:bidi w:val="0"/>
              <w:spacing w:line="360" w:lineRule="auto"/>
              <w:rPr>
                <w:rFonts w:hint="eastAsia"/>
              </w:rPr>
            </w:pPr>
          </w:p>
        </w:tc>
        <w:tc>
          <w:tcPr>
            <w:tcW w:w="766" w:type="dxa"/>
            <w:noWrap w:val="0"/>
            <w:vAlign w:val="center"/>
          </w:tcPr>
          <w:p>
            <w:pPr>
              <w:bidi w:val="0"/>
              <w:spacing w:line="360" w:lineRule="auto"/>
              <w:rPr>
                <w:rFonts w:hint="eastAsia"/>
              </w:rPr>
            </w:pPr>
          </w:p>
        </w:tc>
        <w:tc>
          <w:tcPr>
            <w:tcW w:w="1440" w:type="dxa"/>
            <w:noWrap w:val="0"/>
            <w:vAlign w:val="center"/>
          </w:tcPr>
          <w:p>
            <w:pPr>
              <w:bidi w:val="0"/>
              <w:spacing w:line="360" w:lineRule="auto"/>
              <w:rPr>
                <w:rFonts w:hint="eastAsia"/>
              </w:rPr>
            </w:pPr>
          </w:p>
        </w:tc>
        <w:tc>
          <w:tcPr>
            <w:tcW w:w="720" w:type="dxa"/>
            <w:noWrap w:val="0"/>
            <w:vAlign w:val="center"/>
          </w:tcPr>
          <w:p>
            <w:pPr>
              <w:bidi w:val="0"/>
              <w:spacing w:line="360" w:lineRule="auto"/>
              <w:rPr>
                <w:rFonts w:hint="eastAsia"/>
              </w:rPr>
            </w:pPr>
          </w:p>
        </w:tc>
        <w:tc>
          <w:tcPr>
            <w:tcW w:w="1260" w:type="dxa"/>
            <w:noWrap w:val="0"/>
            <w:vAlign w:val="center"/>
          </w:tcPr>
          <w:p>
            <w:pPr>
              <w:bidi w:val="0"/>
              <w:spacing w:line="360" w:lineRule="auto"/>
              <w:rPr>
                <w:rFonts w:hint="eastAsia"/>
              </w:rPr>
            </w:pPr>
          </w:p>
        </w:tc>
        <w:tc>
          <w:tcPr>
            <w:tcW w:w="1260" w:type="dxa"/>
            <w:noWrap w:val="0"/>
            <w:vAlign w:val="center"/>
          </w:tcPr>
          <w:p>
            <w:pPr>
              <w:bidi w:val="0"/>
              <w:spacing w:line="360" w:lineRule="auto"/>
              <w:rPr>
                <w:rFonts w:hint="eastAsia"/>
              </w:rPr>
            </w:pPr>
          </w:p>
        </w:tc>
        <w:tc>
          <w:tcPr>
            <w:tcW w:w="900" w:type="dxa"/>
            <w:noWrap w:val="0"/>
            <w:vAlign w:val="center"/>
          </w:tcPr>
          <w:p>
            <w:pPr>
              <w:bidi w:val="0"/>
              <w:spacing w:line="360" w:lineRule="auto"/>
              <w:rPr>
                <w:rFonts w:hint="eastAsia"/>
              </w:rPr>
            </w:pPr>
          </w:p>
        </w:tc>
        <w:tc>
          <w:tcPr>
            <w:tcW w:w="1260" w:type="dxa"/>
            <w:noWrap w:val="0"/>
            <w:vAlign w:val="center"/>
          </w:tcPr>
          <w:p>
            <w:pPr>
              <w:bidi w:val="0"/>
              <w:spacing w:line="360" w:lineRule="auto"/>
              <w:rPr>
                <w:rFonts w:hint="eastAsia"/>
              </w:rPr>
            </w:pPr>
          </w:p>
        </w:tc>
        <w:tc>
          <w:tcPr>
            <w:tcW w:w="902" w:type="dxa"/>
            <w:noWrap w:val="0"/>
            <w:vAlign w:val="center"/>
          </w:tcPr>
          <w:p>
            <w:pPr>
              <w:bidi w:val="0"/>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24" w:type="dxa"/>
            <w:noWrap w:val="0"/>
            <w:vAlign w:val="top"/>
          </w:tcPr>
          <w:p>
            <w:pPr>
              <w:bidi w:val="0"/>
              <w:spacing w:line="360" w:lineRule="auto"/>
              <w:rPr>
                <w:rFonts w:hint="eastAsia"/>
              </w:rPr>
            </w:pPr>
          </w:p>
        </w:tc>
        <w:tc>
          <w:tcPr>
            <w:tcW w:w="766" w:type="dxa"/>
            <w:noWrap w:val="0"/>
            <w:vAlign w:val="center"/>
          </w:tcPr>
          <w:p>
            <w:pPr>
              <w:bidi w:val="0"/>
              <w:spacing w:line="360" w:lineRule="auto"/>
              <w:rPr>
                <w:rFonts w:hint="eastAsia"/>
              </w:rPr>
            </w:pPr>
          </w:p>
        </w:tc>
        <w:tc>
          <w:tcPr>
            <w:tcW w:w="1440" w:type="dxa"/>
            <w:noWrap w:val="0"/>
            <w:vAlign w:val="center"/>
          </w:tcPr>
          <w:p>
            <w:pPr>
              <w:bidi w:val="0"/>
              <w:spacing w:line="360" w:lineRule="auto"/>
              <w:rPr>
                <w:rFonts w:hint="eastAsia"/>
              </w:rPr>
            </w:pPr>
          </w:p>
        </w:tc>
        <w:tc>
          <w:tcPr>
            <w:tcW w:w="720" w:type="dxa"/>
            <w:noWrap w:val="0"/>
            <w:vAlign w:val="center"/>
          </w:tcPr>
          <w:p>
            <w:pPr>
              <w:bidi w:val="0"/>
              <w:spacing w:line="360" w:lineRule="auto"/>
              <w:rPr>
                <w:rFonts w:hint="eastAsia"/>
              </w:rPr>
            </w:pPr>
          </w:p>
        </w:tc>
        <w:tc>
          <w:tcPr>
            <w:tcW w:w="1260" w:type="dxa"/>
            <w:noWrap w:val="0"/>
            <w:vAlign w:val="center"/>
          </w:tcPr>
          <w:p>
            <w:pPr>
              <w:bidi w:val="0"/>
              <w:spacing w:line="360" w:lineRule="auto"/>
              <w:rPr>
                <w:rFonts w:hint="eastAsia"/>
              </w:rPr>
            </w:pPr>
          </w:p>
        </w:tc>
        <w:tc>
          <w:tcPr>
            <w:tcW w:w="1260" w:type="dxa"/>
            <w:noWrap w:val="0"/>
            <w:vAlign w:val="center"/>
          </w:tcPr>
          <w:p>
            <w:pPr>
              <w:bidi w:val="0"/>
              <w:spacing w:line="360" w:lineRule="auto"/>
              <w:rPr>
                <w:rFonts w:hint="eastAsia"/>
              </w:rPr>
            </w:pPr>
          </w:p>
        </w:tc>
        <w:tc>
          <w:tcPr>
            <w:tcW w:w="900" w:type="dxa"/>
            <w:noWrap w:val="0"/>
            <w:vAlign w:val="center"/>
          </w:tcPr>
          <w:p>
            <w:pPr>
              <w:bidi w:val="0"/>
              <w:spacing w:line="360" w:lineRule="auto"/>
              <w:rPr>
                <w:rFonts w:hint="eastAsia"/>
              </w:rPr>
            </w:pPr>
          </w:p>
        </w:tc>
        <w:tc>
          <w:tcPr>
            <w:tcW w:w="1260" w:type="dxa"/>
            <w:noWrap w:val="0"/>
            <w:vAlign w:val="center"/>
          </w:tcPr>
          <w:p>
            <w:pPr>
              <w:bidi w:val="0"/>
              <w:spacing w:line="360" w:lineRule="auto"/>
              <w:rPr>
                <w:rFonts w:hint="eastAsia"/>
              </w:rPr>
            </w:pPr>
          </w:p>
        </w:tc>
        <w:tc>
          <w:tcPr>
            <w:tcW w:w="902" w:type="dxa"/>
            <w:noWrap w:val="0"/>
            <w:vAlign w:val="center"/>
          </w:tcPr>
          <w:p>
            <w:pPr>
              <w:bidi w:val="0"/>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24" w:type="dxa"/>
            <w:tcBorders>
              <w:right w:val="single" w:color="auto" w:sz="4" w:space="0"/>
            </w:tcBorders>
            <w:noWrap w:val="0"/>
            <w:vAlign w:val="top"/>
          </w:tcPr>
          <w:p>
            <w:pPr>
              <w:bidi w:val="0"/>
              <w:spacing w:line="360" w:lineRule="auto"/>
              <w:rPr>
                <w:rFonts w:hint="eastAsia"/>
              </w:rPr>
            </w:pPr>
          </w:p>
        </w:tc>
        <w:tc>
          <w:tcPr>
            <w:tcW w:w="766" w:type="dxa"/>
            <w:tcBorders>
              <w:left w:val="single" w:color="auto" w:sz="4" w:space="0"/>
            </w:tcBorders>
            <w:noWrap w:val="0"/>
            <w:vAlign w:val="center"/>
          </w:tcPr>
          <w:p>
            <w:pPr>
              <w:bidi w:val="0"/>
              <w:spacing w:line="360" w:lineRule="auto"/>
              <w:rPr>
                <w:rFonts w:hint="eastAsia"/>
              </w:rPr>
            </w:pPr>
          </w:p>
        </w:tc>
        <w:tc>
          <w:tcPr>
            <w:tcW w:w="1440" w:type="dxa"/>
            <w:noWrap w:val="0"/>
            <w:vAlign w:val="center"/>
          </w:tcPr>
          <w:p>
            <w:pPr>
              <w:bidi w:val="0"/>
              <w:spacing w:line="360" w:lineRule="auto"/>
              <w:rPr>
                <w:rFonts w:hint="eastAsia"/>
              </w:rPr>
            </w:pPr>
          </w:p>
        </w:tc>
        <w:tc>
          <w:tcPr>
            <w:tcW w:w="720" w:type="dxa"/>
            <w:noWrap w:val="0"/>
            <w:vAlign w:val="center"/>
          </w:tcPr>
          <w:p>
            <w:pPr>
              <w:bidi w:val="0"/>
              <w:spacing w:line="360" w:lineRule="auto"/>
              <w:rPr>
                <w:rFonts w:hint="eastAsia"/>
              </w:rPr>
            </w:pPr>
          </w:p>
        </w:tc>
        <w:tc>
          <w:tcPr>
            <w:tcW w:w="1260" w:type="dxa"/>
            <w:noWrap w:val="0"/>
            <w:vAlign w:val="center"/>
          </w:tcPr>
          <w:p>
            <w:pPr>
              <w:bidi w:val="0"/>
              <w:spacing w:line="360" w:lineRule="auto"/>
              <w:rPr>
                <w:rFonts w:hint="eastAsia"/>
              </w:rPr>
            </w:pPr>
          </w:p>
        </w:tc>
        <w:tc>
          <w:tcPr>
            <w:tcW w:w="1260" w:type="dxa"/>
            <w:noWrap w:val="0"/>
            <w:vAlign w:val="center"/>
          </w:tcPr>
          <w:p>
            <w:pPr>
              <w:bidi w:val="0"/>
              <w:spacing w:line="360" w:lineRule="auto"/>
              <w:rPr>
                <w:rFonts w:hint="eastAsia"/>
              </w:rPr>
            </w:pPr>
          </w:p>
        </w:tc>
        <w:tc>
          <w:tcPr>
            <w:tcW w:w="900" w:type="dxa"/>
            <w:noWrap w:val="0"/>
            <w:vAlign w:val="center"/>
          </w:tcPr>
          <w:p>
            <w:pPr>
              <w:bidi w:val="0"/>
              <w:spacing w:line="360" w:lineRule="auto"/>
              <w:rPr>
                <w:rFonts w:hint="eastAsia"/>
              </w:rPr>
            </w:pPr>
          </w:p>
        </w:tc>
        <w:tc>
          <w:tcPr>
            <w:tcW w:w="1260" w:type="dxa"/>
            <w:noWrap w:val="0"/>
            <w:vAlign w:val="center"/>
          </w:tcPr>
          <w:p>
            <w:pPr>
              <w:bidi w:val="0"/>
              <w:spacing w:line="360" w:lineRule="auto"/>
              <w:rPr>
                <w:rFonts w:hint="eastAsia"/>
              </w:rPr>
            </w:pPr>
          </w:p>
        </w:tc>
        <w:tc>
          <w:tcPr>
            <w:tcW w:w="902" w:type="dxa"/>
            <w:noWrap w:val="0"/>
            <w:vAlign w:val="center"/>
          </w:tcPr>
          <w:p>
            <w:pPr>
              <w:bidi w:val="0"/>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24" w:type="dxa"/>
            <w:tcBorders>
              <w:bottom w:val="single" w:color="auto" w:sz="4" w:space="0"/>
              <w:right w:val="single" w:color="auto" w:sz="4" w:space="0"/>
            </w:tcBorders>
            <w:noWrap w:val="0"/>
            <w:vAlign w:val="top"/>
          </w:tcPr>
          <w:p>
            <w:pPr>
              <w:bidi w:val="0"/>
              <w:spacing w:line="360" w:lineRule="auto"/>
              <w:rPr>
                <w:rFonts w:hint="eastAsia"/>
              </w:rPr>
            </w:pPr>
          </w:p>
        </w:tc>
        <w:tc>
          <w:tcPr>
            <w:tcW w:w="8508" w:type="dxa"/>
            <w:gridSpan w:val="8"/>
            <w:tcBorders>
              <w:left w:val="single" w:color="auto" w:sz="4" w:space="0"/>
              <w:bottom w:val="single" w:color="auto" w:sz="4" w:space="0"/>
            </w:tcBorders>
            <w:noWrap w:val="0"/>
            <w:vAlign w:val="top"/>
          </w:tcPr>
          <w:p>
            <w:pPr>
              <w:bidi w:val="0"/>
              <w:spacing w:line="360" w:lineRule="auto"/>
              <w:rPr>
                <w:rFonts w:hint="eastAsia"/>
              </w:rPr>
            </w:pPr>
            <w:r>
              <w:rPr>
                <w:rFonts w:hint="eastAsia"/>
              </w:rPr>
              <w:t>报价合计（万元）：          大写：</w:t>
            </w:r>
          </w:p>
        </w:tc>
      </w:tr>
    </w:tbl>
    <w:p>
      <w:pPr>
        <w:bidi w:val="0"/>
        <w:spacing w:line="360" w:lineRule="auto"/>
        <w:rPr>
          <w:rFonts w:hint="eastAsia"/>
        </w:rPr>
      </w:pPr>
    </w:p>
    <w:p>
      <w:pPr>
        <w:bidi w:val="0"/>
        <w:spacing w:line="360" w:lineRule="auto"/>
        <w:rPr>
          <w:rFonts w:hint="eastAsia"/>
        </w:rPr>
      </w:pPr>
      <w:r>
        <w:rPr>
          <w:rFonts w:hint="eastAsia"/>
        </w:rPr>
        <w:t xml:space="preserve">注：1. 包括设备运输、保险、代理、安装调试、培训、税费、系统集成费用和招标文件规定的其它费用。 </w:t>
      </w:r>
    </w:p>
    <w:p>
      <w:pPr>
        <w:bidi w:val="0"/>
        <w:spacing w:line="360" w:lineRule="auto"/>
      </w:pPr>
      <w:r>
        <w:rPr>
          <w:rFonts w:hint="eastAsia"/>
        </w:rPr>
        <w:t>2、“投标总价”应与“投标函”中“投标总价”一致。</w:t>
      </w:r>
    </w:p>
    <w:p>
      <w:pPr>
        <w:bidi w:val="0"/>
        <w:spacing w:line="360" w:lineRule="auto"/>
      </w:pPr>
      <w:r>
        <w:rPr>
          <w:rFonts w:hint="eastAsia"/>
        </w:rPr>
        <w:t>3、投标人应将开标一览表单独密封在开标信封内，且与投标文件分开单独密封，投标时，同时递交。</w:t>
      </w:r>
    </w:p>
    <w:p>
      <w:pPr>
        <w:bidi w:val="0"/>
        <w:spacing w:line="360" w:lineRule="auto"/>
      </w:pPr>
    </w:p>
    <w:p>
      <w:pPr>
        <w:bidi w:val="0"/>
        <w:spacing w:line="360" w:lineRule="auto"/>
      </w:pPr>
      <w:r>
        <w:rPr>
          <w:rFonts w:hint="eastAsia"/>
        </w:rPr>
        <w:t>投标人名称：　　　　　　　　　　　　　 (加盖公章)</w:t>
      </w:r>
    </w:p>
    <w:p>
      <w:pPr>
        <w:bidi w:val="0"/>
        <w:spacing w:line="360" w:lineRule="auto"/>
      </w:pPr>
      <w:r>
        <w:rPr>
          <w:rFonts w:hint="eastAsia"/>
        </w:rPr>
        <w:t>法定代表人或代理人：　　　　　　　　　（签字）</w:t>
      </w:r>
    </w:p>
    <w:p>
      <w:pPr>
        <w:bidi w:val="0"/>
        <w:spacing w:line="360" w:lineRule="auto"/>
      </w:pPr>
      <w:r>
        <w:rPr>
          <w:rFonts w:hint="eastAsia"/>
        </w:rPr>
        <w:t>日      期：    年   月   日</w:t>
      </w:r>
    </w:p>
    <w:p>
      <w:pPr>
        <w:bidi w:val="0"/>
        <w:spacing w:line="360" w:lineRule="auto"/>
      </w:pPr>
    </w:p>
    <w:p>
      <w:pPr>
        <w:bidi w:val="0"/>
        <w:spacing w:line="360" w:lineRule="auto"/>
      </w:pPr>
    </w:p>
    <w:p>
      <w:pPr>
        <w:bidi w:val="0"/>
        <w:spacing w:line="360" w:lineRule="auto"/>
      </w:pPr>
    </w:p>
    <w:p>
      <w:pPr>
        <w:bidi w:val="0"/>
        <w:spacing w:line="360" w:lineRule="auto"/>
      </w:pPr>
    </w:p>
    <w:p>
      <w:pPr>
        <w:bidi w:val="0"/>
        <w:spacing w:line="360" w:lineRule="auto"/>
      </w:pPr>
    </w:p>
    <w:p>
      <w:pPr>
        <w:bidi w:val="0"/>
        <w:spacing w:line="360" w:lineRule="auto"/>
      </w:pPr>
    </w:p>
    <w:p>
      <w:pPr>
        <w:bidi w:val="0"/>
        <w:spacing w:line="360" w:lineRule="auto"/>
      </w:pPr>
    </w:p>
    <w:p>
      <w:pPr>
        <w:bidi w:val="0"/>
        <w:spacing w:line="360" w:lineRule="auto"/>
      </w:pPr>
    </w:p>
    <w:p>
      <w:pPr>
        <w:bidi w:val="0"/>
        <w:spacing w:line="360" w:lineRule="auto"/>
      </w:pPr>
    </w:p>
    <w:p>
      <w:pPr>
        <w:bidi w:val="0"/>
        <w:spacing w:line="360" w:lineRule="auto"/>
      </w:pPr>
    </w:p>
    <w:p>
      <w:pPr>
        <w:bidi w:val="0"/>
        <w:spacing w:line="360" w:lineRule="auto"/>
      </w:pPr>
    </w:p>
    <w:p>
      <w:pPr>
        <w:bidi w:val="0"/>
        <w:spacing w:line="360" w:lineRule="auto"/>
      </w:pPr>
      <w:bookmarkStart w:id="166" w:name="_Toc18850_WPSOffice_Level2"/>
      <w:bookmarkStart w:id="167" w:name="_Toc2124_WPSOffice_Level2"/>
      <w:r>
        <w:rPr>
          <w:rFonts w:hint="eastAsia"/>
        </w:rPr>
        <w:t>5.3报价表</w:t>
      </w:r>
      <w:bookmarkEnd w:id="166"/>
      <w:bookmarkEnd w:id="167"/>
    </w:p>
    <w:p>
      <w:pPr>
        <w:bidi w:val="0"/>
        <w:spacing w:line="360" w:lineRule="auto"/>
      </w:pPr>
      <w:r>
        <w:rPr>
          <w:rFonts w:hint="eastAsia"/>
        </w:rPr>
        <w:t>报 价 表</w:t>
      </w:r>
    </w:p>
    <w:p>
      <w:pPr>
        <w:bidi w:val="0"/>
        <w:spacing w:line="360" w:lineRule="auto"/>
      </w:pPr>
    </w:p>
    <w:p>
      <w:pPr>
        <w:bidi w:val="0"/>
        <w:spacing w:line="360" w:lineRule="auto"/>
      </w:pPr>
    </w:p>
    <w:p>
      <w:pPr>
        <w:bidi w:val="0"/>
        <w:spacing w:line="360" w:lineRule="auto"/>
      </w:pPr>
      <w:r>
        <w:rPr>
          <w:rFonts w:hint="eastAsia"/>
        </w:rPr>
        <w:t xml:space="preserve">                             </w:t>
      </w:r>
    </w:p>
    <w:tbl>
      <w:tblPr>
        <w:tblStyle w:val="6"/>
        <w:tblW w:w="949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7"/>
        <w:gridCol w:w="4138"/>
        <w:gridCol w:w="1021"/>
        <w:gridCol w:w="1562"/>
        <w:gridCol w:w="2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7" w:type="dxa"/>
            <w:tcBorders>
              <w:top w:val="single" w:color="auto" w:sz="8" w:space="0"/>
              <w:left w:val="single" w:color="auto" w:sz="8" w:space="0"/>
              <w:bottom w:val="single" w:color="auto" w:sz="4" w:space="0"/>
              <w:right w:val="single" w:color="auto" w:sz="4" w:space="0"/>
            </w:tcBorders>
            <w:noWrap w:val="0"/>
            <w:vAlign w:val="center"/>
          </w:tcPr>
          <w:p>
            <w:pPr>
              <w:bidi w:val="0"/>
              <w:spacing w:line="360" w:lineRule="auto"/>
              <w:rPr>
                <w:rFonts w:hint="eastAsia"/>
              </w:rPr>
            </w:pPr>
            <w:r>
              <w:rPr>
                <w:rFonts w:hint="eastAsia"/>
              </w:rPr>
              <w:t>项项目</w:t>
            </w:r>
          </w:p>
        </w:tc>
        <w:tc>
          <w:tcPr>
            <w:tcW w:w="4138" w:type="dxa"/>
            <w:tcBorders>
              <w:top w:val="single" w:color="auto" w:sz="8" w:space="0"/>
              <w:left w:val="single" w:color="auto" w:sz="4" w:space="0"/>
              <w:bottom w:val="single" w:color="auto" w:sz="4" w:space="0"/>
              <w:right w:val="single" w:color="auto" w:sz="4" w:space="0"/>
            </w:tcBorders>
            <w:noWrap w:val="0"/>
            <w:vAlign w:val="center"/>
          </w:tcPr>
          <w:p>
            <w:pPr>
              <w:bidi w:val="0"/>
              <w:spacing w:line="360" w:lineRule="auto"/>
              <w:rPr>
                <w:rFonts w:hint="eastAsia"/>
              </w:rPr>
            </w:pPr>
            <w:r>
              <w:rPr>
                <w:rFonts w:hint="eastAsia"/>
              </w:rPr>
              <w:t>货物名称或型号配置</w:t>
            </w:r>
          </w:p>
        </w:tc>
        <w:tc>
          <w:tcPr>
            <w:tcW w:w="1021" w:type="dxa"/>
            <w:tcBorders>
              <w:top w:val="single" w:color="auto" w:sz="8" w:space="0"/>
              <w:left w:val="single" w:color="auto" w:sz="4" w:space="0"/>
              <w:bottom w:val="single" w:color="auto" w:sz="4" w:space="0"/>
              <w:right w:val="single" w:color="auto" w:sz="4" w:space="0"/>
            </w:tcBorders>
            <w:noWrap w:val="0"/>
            <w:vAlign w:val="center"/>
          </w:tcPr>
          <w:p>
            <w:pPr>
              <w:bidi w:val="0"/>
              <w:spacing w:line="360" w:lineRule="auto"/>
              <w:rPr>
                <w:rFonts w:hint="eastAsia"/>
              </w:rPr>
            </w:pPr>
            <w:r>
              <w:rPr>
                <w:rFonts w:hint="eastAsia"/>
              </w:rPr>
              <w:t>数量</w:t>
            </w:r>
          </w:p>
        </w:tc>
        <w:tc>
          <w:tcPr>
            <w:tcW w:w="1562" w:type="dxa"/>
            <w:tcBorders>
              <w:top w:val="single" w:color="auto" w:sz="8" w:space="0"/>
              <w:left w:val="single" w:color="auto" w:sz="4" w:space="0"/>
              <w:bottom w:val="single" w:color="auto" w:sz="4" w:space="0"/>
              <w:right w:val="single" w:color="auto" w:sz="4" w:space="0"/>
            </w:tcBorders>
            <w:noWrap w:val="0"/>
            <w:vAlign w:val="center"/>
          </w:tcPr>
          <w:p>
            <w:pPr>
              <w:bidi w:val="0"/>
              <w:spacing w:line="360" w:lineRule="auto"/>
              <w:rPr>
                <w:rFonts w:hint="eastAsia"/>
              </w:rPr>
            </w:pPr>
            <w:r>
              <w:rPr>
                <w:rFonts w:hint="eastAsia"/>
              </w:rPr>
              <w:t>单    价</w:t>
            </w:r>
          </w:p>
          <w:p>
            <w:pPr>
              <w:bidi w:val="0"/>
              <w:spacing w:line="360" w:lineRule="auto"/>
              <w:rPr>
                <w:rFonts w:hint="eastAsia"/>
              </w:rPr>
            </w:pPr>
            <w:r>
              <w:rPr>
                <w:rFonts w:hint="eastAsia"/>
              </w:rPr>
              <w:t>（元）</w:t>
            </w:r>
          </w:p>
        </w:tc>
        <w:tc>
          <w:tcPr>
            <w:tcW w:w="2189" w:type="dxa"/>
            <w:tcBorders>
              <w:top w:val="single" w:color="auto" w:sz="8" w:space="0"/>
              <w:left w:val="single" w:color="auto" w:sz="4" w:space="0"/>
              <w:bottom w:val="single" w:color="auto" w:sz="4" w:space="0"/>
              <w:right w:val="single" w:color="auto" w:sz="8" w:space="0"/>
            </w:tcBorders>
            <w:noWrap w:val="0"/>
            <w:vAlign w:val="center"/>
          </w:tcPr>
          <w:p>
            <w:pPr>
              <w:bidi w:val="0"/>
              <w:spacing w:line="360" w:lineRule="auto"/>
              <w:rPr>
                <w:rFonts w:hint="eastAsia"/>
              </w:rPr>
            </w:pPr>
            <w:r>
              <w:rPr>
                <w:rFonts w:hint="eastAsia"/>
              </w:rPr>
              <w:t>合    计</w:t>
            </w:r>
          </w:p>
          <w:p>
            <w:pPr>
              <w:bidi w:val="0"/>
              <w:spacing w:line="360" w:lineRule="auto"/>
              <w:rPr>
                <w:rFonts w:hint="eastAsia"/>
              </w:rPr>
            </w:pPr>
            <w:r>
              <w:rPr>
                <w:rFonts w:hint="eastAsia"/>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587" w:type="dxa"/>
            <w:tcBorders>
              <w:top w:val="single" w:color="auto" w:sz="4" w:space="0"/>
              <w:left w:val="single" w:color="auto" w:sz="8" w:space="0"/>
              <w:bottom w:val="single" w:color="auto" w:sz="4" w:space="0"/>
              <w:right w:val="single" w:color="auto" w:sz="4" w:space="0"/>
            </w:tcBorders>
            <w:noWrap w:val="0"/>
            <w:vAlign w:val="center"/>
          </w:tcPr>
          <w:p>
            <w:pPr>
              <w:bidi w:val="0"/>
              <w:spacing w:line="360" w:lineRule="auto"/>
              <w:rPr>
                <w:rFonts w:hint="eastAsia"/>
              </w:rPr>
            </w:pPr>
            <w:r>
              <w:rPr>
                <w:rFonts w:hint="eastAsia"/>
              </w:rPr>
              <w:t>1</w:t>
            </w:r>
          </w:p>
        </w:tc>
        <w:tc>
          <w:tcPr>
            <w:tcW w:w="4138"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rPr>
            </w:pPr>
          </w:p>
        </w:tc>
        <w:tc>
          <w:tcPr>
            <w:tcW w:w="2189" w:type="dxa"/>
            <w:tcBorders>
              <w:top w:val="single" w:color="auto" w:sz="4" w:space="0"/>
              <w:left w:val="single" w:color="auto" w:sz="4" w:space="0"/>
              <w:bottom w:val="single" w:color="auto" w:sz="4" w:space="0"/>
              <w:right w:val="single" w:color="auto" w:sz="8" w:space="0"/>
            </w:tcBorders>
            <w:noWrap w:val="0"/>
            <w:vAlign w:val="center"/>
          </w:tcPr>
          <w:p>
            <w:pPr>
              <w:bidi w:val="0"/>
              <w:spacing w:line="360" w:lineRule="auto"/>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587" w:type="dxa"/>
            <w:tcBorders>
              <w:top w:val="single" w:color="auto" w:sz="4" w:space="0"/>
              <w:left w:val="single" w:color="auto" w:sz="8" w:space="0"/>
              <w:bottom w:val="single" w:color="auto" w:sz="4" w:space="0"/>
              <w:right w:val="single" w:color="auto" w:sz="4" w:space="0"/>
            </w:tcBorders>
            <w:noWrap w:val="0"/>
            <w:vAlign w:val="center"/>
          </w:tcPr>
          <w:p>
            <w:pPr>
              <w:bidi w:val="0"/>
              <w:spacing w:line="360" w:lineRule="auto"/>
              <w:rPr>
                <w:rFonts w:hint="eastAsia"/>
              </w:rPr>
            </w:pPr>
            <w:r>
              <w:rPr>
                <w:rFonts w:hint="eastAsia"/>
              </w:rPr>
              <w:t>2</w:t>
            </w:r>
          </w:p>
        </w:tc>
        <w:tc>
          <w:tcPr>
            <w:tcW w:w="4138"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rPr>
            </w:pPr>
          </w:p>
        </w:tc>
        <w:tc>
          <w:tcPr>
            <w:tcW w:w="2189" w:type="dxa"/>
            <w:tcBorders>
              <w:top w:val="single" w:color="auto" w:sz="4" w:space="0"/>
              <w:left w:val="single" w:color="auto" w:sz="4" w:space="0"/>
              <w:bottom w:val="single" w:color="auto" w:sz="4" w:space="0"/>
              <w:right w:val="single" w:color="auto" w:sz="8" w:space="0"/>
            </w:tcBorders>
            <w:noWrap w:val="0"/>
            <w:vAlign w:val="center"/>
          </w:tcPr>
          <w:p>
            <w:pPr>
              <w:bidi w:val="0"/>
              <w:spacing w:line="360" w:lineRule="auto"/>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587" w:type="dxa"/>
            <w:tcBorders>
              <w:top w:val="single" w:color="auto" w:sz="4" w:space="0"/>
              <w:left w:val="single" w:color="auto" w:sz="8" w:space="0"/>
              <w:bottom w:val="single" w:color="auto" w:sz="4" w:space="0"/>
              <w:right w:val="single" w:color="auto" w:sz="4" w:space="0"/>
            </w:tcBorders>
            <w:noWrap w:val="0"/>
            <w:vAlign w:val="center"/>
          </w:tcPr>
          <w:p>
            <w:pPr>
              <w:bidi w:val="0"/>
              <w:spacing w:line="360" w:lineRule="auto"/>
              <w:rPr>
                <w:rFonts w:hint="eastAsia"/>
              </w:rPr>
            </w:pPr>
            <w:r>
              <w:rPr>
                <w:rFonts w:hint="eastAsia"/>
              </w:rPr>
              <w:t>3</w:t>
            </w:r>
          </w:p>
        </w:tc>
        <w:tc>
          <w:tcPr>
            <w:tcW w:w="4138"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bidi w:val="0"/>
              <w:spacing w:line="360" w:lineRule="auto"/>
              <w:rPr>
                <w:rFonts w:hint="eastAsia"/>
              </w:rPr>
            </w:pPr>
          </w:p>
        </w:tc>
        <w:tc>
          <w:tcPr>
            <w:tcW w:w="2189" w:type="dxa"/>
            <w:tcBorders>
              <w:top w:val="single" w:color="auto" w:sz="4" w:space="0"/>
              <w:left w:val="single" w:color="auto" w:sz="4" w:space="0"/>
              <w:bottom w:val="single" w:color="auto" w:sz="4" w:space="0"/>
              <w:right w:val="single" w:color="auto" w:sz="8" w:space="0"/>
            </w:tcBorders>
            <w:noWrap w:val="0"/>
            <w:vAlign w:val="center"/>
          </w:tcPr>
          <w:p>
            <w:pPr>
              <w:bidi w:val="0"/>
              <w:spacing w:line="360" w:lineRule="auto"/>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497" w:type="dxa"/>
            <w:gridSpan w:val="5"/>
            <w:tcBorders>
              <w:top w:val="single" w:color="auto" w:sz="4" w:space="0"/>
              <w:left w:val="single" w:color="auto" w:sz="8" w:space="0"/>
              <w:bottom w:val="single" w:color="auto" w:sz="4" w:space="0"/>
              <w:right w:val="single" w:color="auto" w:sz="8" w:space="0"/>
            </w:tcBorders>
            <w:noWrap w:val="0"/>
            <w:vAlign w:val="center"/>
          </w:tcPr>
          <w:p>
            <w:pPr>
              <w:bidi w:val="0"/>
              <w:spacing w:line="360" w:lineRule="auto"/>
              <w:rPr>
                <w:rFonts w:hint="eastAsia"/>
              </w:rPr>
            </w:pPr>
            <w:r>
              <w:rPr>
                <w:rFonts w:hint="eastAsia"/>
              </w:rPr>
              <w:t xml:space="preserve">报价大写合计：  拾    万   仟   佰   拾  元整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497" w:type="dxa"/>
            <w:gridSpan w:val="5"/>
            <w:tcBorders>
              <w:top w:val="single" w:color="auto" w:sz="4" w:space="0"/>
              <w:left w:val="single" w:color="auto" w:sz="8" w:space="0"/>
              <w:bottom w:val="single" w:color="auto" w:sz="4" w:space="0"/>
              <w:right w:val="single" w:color="auto" w:sz="8" w:space="0"/>
            </w:tcBorders>
            <w:noWrap w:val="0"/>
            <w:vAlign w:val="center"/>
          </w:tcPr>
          <w:p>
            <w:pPr>
              <w:bidi w:val="0"/>
              <w:spacing w:line="360" w:lineRule="auto"/>
              <w:rPr>
                <w:rFonts w:hint="eastAsia"/>
              </w:rPr>
            </w:pPr>
            <w:r>
              <w:rPr>
                <w:rFonts w:hint="eastAsia"/>
              </w:rPr>
              <w:t>交货时间：合同签定之日起   日内               交货地点：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jc w:val="center"/>
        </w:trPr>
        <w:tc>
          <w:tcPr>
            <w:tcW w:w="9497" w:type="dxa"/>
            <w:gridSpan w:val="5"/>
            <w:tcBorders>
              <w:top w:val="single" w:color="auto" w:sz="4" w:space="0"/>
              <w:left w:val="single" w:color="auto" w:sz="8" w:space="0"/>
              <w:bottom w:val="single" w:color="auto" w:sz="8" w:space="0"/>
              <w:right w:val="single" w:color="auto" w:sz="8" w:space="0"/>
            </w:tcBorders>
            <w:noWrap w:val="0"/>
            <w:vAlign w:val="top"/>
          </w:tcPr>
          <w:p>
            <w:pPr>
              <w:bidi w:val="0"/>
              <w:spacing w:line="360" w:lineRule="auto"/>
              <w:rPr>
                <w:rFonts w:hint="eastAsia"/>
              </w:rPr>
            </w:pPr>
            <w:r>
              <w:rPr>
                <w:rFonts w:hint="eastAsia"/>
              </w:rPr>
              <w:t>备注：</w:t>
            </w:r>
          </w:p>
          <w:p>
            <w:pPr>
              <w:bidi w:val="0"/>
              <w:spacing w:line="360" w:lineRule="auto"/>
              <w:rPr>
                <w:rFonts w:hint="eastAsia"/>
              </w:rPr>
            </w:pPr>
            <w:r>
              <w:rPr>
                <w:rFonts w:hint="eastAsia"/>
              </w:rPr>
              <w:t>①报价包括运输、装卸、配件、安装、调试、培训、维护、税费等各项相关费用。</w:t>
            </w:r>
          </w:p>
          <w:p>
            <w:pPr>
              <w:bidi w:val="0"/>
              <w:spacing w:line="360" w:lineRule="auto"/>
              <w:rPr>
                <w:rFonts w:hint="eastAsia"/>
              </w:rPr>
            </w:pPr>
            <w:r>
              <w:rPr>
                <w:rFonts w:hint="eastAsia"/>
              </w:rPr>
              <w:t>②本表中的大写金额与小写金额不一致的，以大写金额为准；总价金额与按单价计算的汇总金额不一致的，以单价计算的汇总金额为准；单价金额有明显小数点错误的，以总价为准，并修改单价。</w:t>
            </w:r>
          </w:p>
        </w:tc>
      </w:tr>
    </w:tbl>
    <w:p>
      <w:pPr>
        <w:bidi w:val="0"/>
        <w:spacing w:line="360" w:lineRule="auto"/>
        <w:rPr>
          <w:rFonts w:hint="eastAsia"/>
        </w:rPr>
      </w:pPr>
    </w:p>
    <w:p>
      <w:pPr>
        <w:bidi w:val="0"/>
        <w:spacing w:line="360" w:lineRule="auto"/>
        <w:rPr>
          <w:rFonts w:hint="eastAsia"/>
        </w:rPr>
      </w:pPr>
    </w:p>
    <w:p>
      <w:pPr>
        <w:bidi w:val="0"/>
        <w:spacing w:line="360" w:lineRule="auto"/>
        <w:rPr>
          <w:rFonts w:hint="eastAsia"/>
        </w:rPr>
      </w:pPr>
      <w:r>
        <w:rPr>
          <w:rFonts w:hint="eastAsia"/>
        </w:rPr>
        <w:t>法定代表人或授权代表（签字、盖章）：</w:t>
      </w:r>
    </w:p>
    <w:p>
      <w:pPr>
        <w:bidi w:val="0"/>
        <w:spacing w:line="360" w:lineRule="auto"/>
        <w:rPr>
          <w:rFonts w:hint="eastAsia"/>
        </w:rPr>
      </w:pPr>
      <w:r>
        <w:rPr>
          <w:rFonts w:hint="eastAsia"/>
        </w:rPr>
        <w:t>联系电话：</w:t>
      </w:r>
    </w:p>
    <w:p>
      <w:pPr>
        <w:bidi w:val="0"/>
        <w:spacing w:line="360" w:lineRule="auto"/>
        <w:rPr>
          <w:rFonts w:hint="eastAsia"/>
        </w:rPr>
      </w:pPr>
      <w:r>
        <w:rPr>
          <w:rFonts w:hint="eastAsia"/>
        </w:rPr>
        <w:t xml:space="preserve">    年   月  日</w:t>
      </w:r>
    </w:p>
    <w:p>
      <w:pPr>
        <w:bidi w:val="0"/>
        <w:spacing w:line="360" w:lineRule="auto"/>
      </w:pPr>
      <w:r>
        <w:rPr>
          <w:rFonts w:hint="eastAsia"/>
        </w:rPr>
        <w:br w:type="page"/>
      </w:r>
    </w:p>
    <w:p>
      <w:pPr>
        <w:bidi w:val="0"/>
        <w:spacing w:line="360" w:lineRule="auto"/>
      </w:pPr>
      <w:bookmarkStart w:id="168" w:name="_Toc239849853"/>
      <w:bookmarkStart w:id="169" w:name="_Toc240367172"/>
      <w:bookmarkStart w:id="170" w:name="_Toc5192"/>
      <w:bookmarkStart w:id="171" w:name="_Toc237145395"/>
      <w:bookmarkStart w:id="172" w:name="_Toc231030275"/>
      <w:bookmarkStart w:id="173" w:name="_Toc229802674"/>
      <w:bookmarkStart w:id="174" w:name="_Toc24216_WPSOffice_Level2"/>
      <w:bookmarkStart w:id="175" w:name="_Toc10817_WPSOffice_Level2"/>
      <w:bookmarkStart w:id="176" w:name="_Toc239846734"/>
      <w:bookmarkStart w:id="177" w:name="_Toc240865266"/>
      <w:r>
        <w:rPr>
          <w:rFonts w:hint="eastAsia"/>
        </w:rPr>
        <w:t>5.4法定代表人身份证明书</w:t>
      </w:r>
      <w:bookmarkEnd w:id="168"/>
      <w:bookmarkEnd w:id="169"/>
      <w:bookmarkEnd w:id="170"/>
      <w:bookmarkEnd w:id="171"/>
      <w:bookmarkEnd w:id="172"/>
      <w:bookmarkEnd w:id="173"/>
      <w:bookmarkEnd w:id="174"/>
      <w:bookmarkEnd w:id="175"/>
      <w:bookmarkEnd w:id="176"/>
      <w:bookmarkEnd w:id="177"/>
    </w:p>
    <w:p>
      <w:pPr>
        <w:bidi w:val="0"/>
        <w:spacing w:line="360" w:lineRule="auto"/>
        <w:rPr>
          <w:lang w:val="zh-CN"/>
        </w:rPr>
      </w:pPr>
    </w:p>
    <w:p>
      <w:pPr>
        <w:bidi w:val="0"/>
        <w:spacing w:line="360" w:lineRule="auto"/>
        <w:rPr>
          <w:lang w:val="zh-CN"/>
        </w:rPr>
      </w:pPr>
      <w:r>
        <w:rPr>
          <w:rFonts w:hint="eastAsia" w:ascii="Calibri"/>
          <w:lang w:val="zh-CN"/>
        </w:rPr>
        <w:t>（法定代表人姓名）</w:t>
      </w:r>
      <w:r>
        <w:rPr>
          <w:rFonts w:hint="eastAsia" w:ascii="Calibri"/>
          <w:u w:val="single"/>
          <w:lang w:val="zh-CN"/>
        </w:rPr>
        <w:t xml:space="preserve">         </w:t>
      </w:r>
      <w:r>
        <w:rPr>
          <w:rFonts w:hint="eastAsia" w:ascii="Calibri"/>
          <w:lang w:val="zh-CN"/>
        </w:rPr>
        <w:t>在（投标人名称）</w:t>
      </w:r>
      <w:r>
        <w:rPr>
          <w:rFonts w:hint="eastAsia"/>
          <w:u w:val="single"/>
        </w:rPr>
        <w:t xml:space="preserve">   </w:t>
      </w:r>
      <w:r>
        <w:rPr>
          <w:rFonts w:hint="eastAsia" w:ascii="Calibri"/>
          <w:u w:val="single"/>
          <w:lang w:val="zh-CN"/>
        </w:rPr>
        <w:t xml:space="preserve">  </w:t>
      </w:r>
      <w:r>
        <w:rPr>
          <w:rFonts w:hint="eastAsia" w:ascii="Calibri"/>
          <w:lang w:val="zh-CN"/>
        </w:rPr>
        <w:t>处 任</w:t>
      </w:r>
      <w:r>
        <w:rPr>
          <w:rFonts w:hint="eastAsia" w:ascii="Calibri"/>
          <w:u w:val="single"/>
          <w:lang w:val="zh-CN"/>
        </w:rPr>
        <w:t xml:space="preserve">         </w:t>
      </w:r>
      <w:r>
        <w:rPr>
          <w:rFonts w:hint="eastAsia" w:ascii="Calibri"/>
          <w:lang w:val="zh-CN"/>
        </w:rPr>
        <w:t>（职务名称）        职务，是</w:t>
      </w:r>
      <w:r>
        <w:rPr>
          <w:rFonts w:hint="eastAsia" w:ascii="Calibri"/>
          <w:u w:val="single"/>
          <w:lang w:val="zh-CN"/>
        </w:rPr>
        <w:t xml:space="preserve">      </w:t>
      </w:r>
      <w:r>
        <w:rPr>
          <w:rFonts w:hint="eastAsia" w:ascii="Calibri"/>
          <w:lang w:val="zh-CN"/>
        </w:rPr>
        <w:t>（投标人名称）的法定代表人。</w:t>
      </w:r>
    </w:p>
    <w:p>
      <w:pPr>
        <w:bidi w:val="0"/>
        <w:spacing w:line="360" w:lineRule="auto"/>
        <w:rPr>
          <w:lang w:val="zh-CN"/>
        </w:rPr>
      </w:pPr>
    </w:p>
    <w:p>
      <w:pPr>
        <w:bidi w:val="0"/>
        <w:spacing w:line="360" w:lineRule="auto"/>
        <w:rPr>
          <w:lang w:val="zh-CN"/>
        </w:rPr>
      </w:pPr>
    </w:p>
    <w:p>
      <w:pPr>
        <w:bidi w:val="0"/>
        <w:spacing w:line="360" w:lineRule="auto"/>
        <w:rPr>
          <w:lang w:val="zh-CN"/>
        </w:rPr>
      </w:pPr>
      <w:bookmarkStart w:id="178" w:name="_Toc303169995"/>
      <w:bookmarkStart w:id="179" w:name="_Toc295309467"/>
      <w:bookmarkStart w:id="180" w:name="_Toc303327351"/>
      <w:bookmarkStart w:id="181" w:name="_Toc294863855"/>
      <w:bookmarkStart w:id="182" w:name="_Toc292180091"/>
      <w:bookmarkStart w:id="183" w:name="_Toc267482659"/>
      <w:bookmarkStart w:id="184" w:name="_Toc303089541"/>
      <w:bookmarkStart w:id="185" w:name="_Toc281400043"/>
      <w:bookmarkStart w:id="186" w:name="_Toc267474343"/>
      <w:r>
        <w:rPr>
          <w:rFonts w:hint="eastAsia" w:ascii="Calibri"/>
          <w:lang w:val="zh-CN"/>
        </w:rPr>
        <w:t>特此证明。</w:t>
      </w:r>
      <w:bookmarkEnd w:id="178"/>
      <w:bookmarkEnd w:id="179"/>
      <w:bookmarkEnd w:id="180"/>
      <w:bookmarkEnd w:id="181"/>
      <w:bookmarkEnd w:id="182"/>
      <w:bookmarkEnd w:id="183"/>
      <w:bookmarkEnd w:id="184"/>
      <w:bookmarkEnd w:id="185"/>
      <w:bookmarkEnd w:id="186"/>
    </w:p>
    <w:p>
      <w:pPr>
        <w:bidi w:val="0"/>
        <w:spacing w:line="360" w:lineRule="auto"/>
        <w:rPr>
          <w:lang w:val="zh-CN"/>
        </w:rPr>
      </w:pPr>
      <w:r>
        <w:rPr>
          <w:rFonts w:hint="eastAsia" w:ascii="Calibri"/>
          <w:lang w:val="zh-CN"/>
        </w:rPr>
        <w:t xml:space="preserve">   投标人名称：</w:t>
      </w:r>
      <w:r>
        <w:rPr>
          <w:rFonts w:hint="eastAsia" w:ascii="Calibri"/>
          <w:lang w:val="zh-CN"/>
        </w:rPr>
        <w:tab/>
      </w:r>
      <w:r>
        <w:rPr>
          <w:rFonts w:hint="eastAsia" w:ascii="Calibri"/>
          <w:lang w:val="zh-CN"/>
        </w:rPr>
        <w:tab/>
      </w:r>
      <w:r>
        <w:rPr>
          <w:rFonts w:hint="eastAsia" w:ascii="Calibri"/>
          <w:lang w:val="zh-CN"/>
        </w:rPr>
        <w:tab/>
      </w:r>
      <w:r>
        <w:rPr>
          <w:rFonts w:hint="eastAsia" w:ascii="Calibri"/>
          <w:lang w:val="zh-CN"/>
        </w:rPr>
        <w:tab/>
      </w:r>
      <w:r>
        <w:rPr>
          <w:rFonts w:hint="eastAsia" w:ascii="Calibri"/>
          <w:lang w:val="zh-CN"/>
        </w:rPr>
        <w:tab/>
      </w:r>
      <w:r>
        <w:rPr>
          <w:rFonts w:hint="eastAsia" w:ascii="Calibri"/>
          <w:lang w:val="zh-CN"/>
        </w:rPr>
        <w:t xml:space="preserve">      （加盖公章）</w:t>
      </w:r>
    </w:p>
    <w:p>
      <w:pPr>
        <w:bidi w:val="0"/>
        <w:spacing w:line="360" w:lineRule="auto"/>
      </w:pPr>
    </w:p>
    <w:p>
      <w:pPr>
        <w:bidi w:val="0"/>
        <w:spacing w:line="360" w:lineRule="auto"/>
      </w:pPr>
      <w:r>
        <w:rPr>
          <w:rFonts w:hint="eastAsia"/>
        </w:rPr>
        <w:t>日期：     年  月  日</w:t>
      </w:r>
    </w:p>
    <w:p>
      <w:pPr>
        <w:bidi w:val="0"/>
        <w:spacing w:line="360" w:lineRule="auto"/>
        <w:rPr>
          <w:lang w:val="zh-CN"/>
        </w:rPr>
      </w:pPr>
    </w:p>
    <w:p>
      <w:pPr>
        <w:bidi w:val="0"/>
        <w:spacing w:line="360" w:lineRule="auto"/>
        <w:rPr>
          <w:lang w:val="zh-CN"/>
        </w:rPr>
      </w:pPr>
      <w:r>
        <w:rPr>
          <w:rFonts w:hint="eastAsia" w:ascii="Calibri"/>
          <w:lang w:val="zh-CN"/>
        </w:rPr>
        <w:t xml:space="preserve">   说明：上述证明文件在投标文件中附有法定代表人身份证复印件（加盖公章）时才能生效。</w:t>
      </w:r>
    </w:p>
    <w:p>
      <w:pPr>
        <w:bidi w:val="0"/>
        <w:spacing w:line="360" w:lineRule="auto"/>
        <w:rPr>
          <w:lang w:val="zh-CN"/>
        </w:rPr>
      </w:pPr>
      <w:r>
        <w:rPr>
          <w:rFonts w:hint="eastAsia" w:ascii="Calibri"/>
          <w:lang w:val="zh-CN"/>
        </w:rPr>
        <w:br w:type="page"/>
      </w:r>
    </w:p>
    <w:p>
      <w:pPr>
        <w:bidi w:val="0"/>
        <w:spacing w:line="360" w:lineRule="auto"/>
      </w:pPr>
      <w:bookmarkStart w:id="187" w:name="_Toc17862_WPSOffice_Level2"/>
      <w:bookmarkStart w:id="188" w:name="_Toc181520573"/>
      <w:bookmarkStart w:id="189" w:name="_Toc9505"/>
      <w:bookmarkStart w:id="190" w:name="_Toc5537_WPSOffice_Level2"/>
      <w:bookmarkStart w:id="191" w:name="_Toc214858829"/>
      <w:r>
        <w:rPr>
          <w:rFonts w:hint="eastAsia"/>
        </w:rPr>
        <w:t>5.5法定代表人授权书格式</w:t>
      </w:r>
      <w:bookmarkEnd w:id="187"/>
      <w:bookmarkEnd w:id="188"/>
      <w:bookmarkEnd w:id="189"/>
      <w:bookmarkEnd w:id="190"/>
      <w:bookmarkEnd w:id="191"/>
    </w:p>
    <w:p>
      <w:pPr>
        <w:bidi w:val="0"/>
        <w:spacing w:line="360" w:lineRule="auto"/>
      </w:pPr>
      <w:r>
        <w:rPr>
          <w:rFonts w:hint="eastAsia"/>
        </w:rPr>
        <w:t>核工业成都机电学校：</w:t>
      </w:r>
    </w:p>
    <w:p>
      <w:pPr>
        <w:bidi w:val="0"/>
        <w:spacing w:line="360" w:lineRule="auto"/>
        <w:ind w:firstLine="480" w:firstLineChars="200"/>
        <w:rPr>
          <w:rFonts w:hint="eastAsia"/>
        </w:rPr>
      </w:pPr>
      <w:r>
        <w:rPr>
          <w:rFonts w:hint="eastAsia"/>
          <w:u w:val="single"/>
        </w:rPr>
        <w:t xml:space="preserve">            </w:t>
      </w:r>
      <w:r>
        <w:rPr>
          <w:rFonts w:hint="eastAsia"/>
        </w:rPr>
        <w:t>（投标人全称）法定代表人____________授权委托_________为我的代理人，参加贵单位组织的核工业成都机电学校密集柜采购项目投标。代理人在本次招标中所签署的一切文件和处理的一切有关事宜，我公司均予承认，所产生的法律后果均由我单位承担。</w:t>
      </w:r>
    </w:p>
    <w:p>
      <w:pPr>
        <w:widowControl w:val="0"/>
        <w:spacing w:after="120"/>
        <w:jc w:val="both"/>
        <w:rPr>
          <w:rFonts w:ascii="Calibri" w:hAnsi="Calibri" w:eastAsia="宋体" w:cs="Times New Roman"/>
          <w:kern w:val="2"/>
          <w:sz w:val="24"/>
          <w:szCs w:val="24"/>
          <w:lang w:val="en-US" w:eastAsia="zh-CN" w:bidi="ar-SA"/>
        </w:rPr>
      </w:pPr>
    </w:p>
    <w:p>
      <w:pPr>
        <w:bidi w:val="0"/>
        <w:spacing w:line="360" w:lineRule="auto"/>
      </w:pPr>
      <w:r>
        <w:rPr>
          <w:rFonts w:hint="eastAsia"/>
        </w:rPr>
        <w:t>代理人无转委托权，本授权书自   年  月  日签字生效，特此声明。</w:t>
      </w:r>
    </w:p>
    <w:p>
      <w:pPr>
        <w:bidi w:val="0"/>
        <w:spacing w:line="360" w:lineRule="auto"/>
      </w:pPr>
    </w:p>
    <w:p>
      <w:pPr>
        <w:bidi w:val="0"/>
        <w:spacing w:line="360" w:lineRule="auto"/>
      </w:pPr>
      <w:r>
        <w:rPr>
          <w:rFonts w:hint="eastAsia"/>
        </w:rPr>
        <w:t>法定代表人：                （签字或盖法定代表人印章）</w:t>
      </w:r>
    </w:p>
    <w:p>
      <w:pPr>
        <w:bidi w:val="0"/>
        <w:spacing w:line="360" w:lineRule="auto"/>
        <w:rPr>
          <w:rFonts w:hint="eastAsia"/>
        </w:rPr>
      </w:pPr>
    </w:p>
    <w:p>
      <w:pPr>
        <w:bidi w:val="0"/>
        <w:spacing w:line="360" w:lineRule="auto"/>
      </w:pPr>
      <w:r>
        <w:rPr>
          <w:rFonts w:hint="eastAsia"/>
        </w:rPr>
        <w:t>代理人：                  （签字）</w:t>
      </w:r>
    </w:p>
    <w:p>
      <w:pPr>
        <w:bidi w:val="0"/>
        <w:spacing w:line="360" w:lineRule="auto"/>
        <w:rPr>
          <w:rFonts w:hint="eastAsia"/>
        </w:rPr>
      </w:pPr>
    </w:p>
    <w:p>
      <w:pPr>
        <w:bidi w:val="0"/>
        <w:spacing w:line="360" w:lineRule="auto"/>
      </w:pPr>
      <w:r>
        <w:rPr>
          <w:rFonts w:hint="eastAsia"/>
        </w:rPr>
        <w:t>投标人名称：                           （加盖公章）</w:t>
      </w:r>
    </w:p>
    <w:p>
      <w:pPr>
        <w:bidi w:val="0"/>
        <w:spacing w:line="360" w:lineRule="auto"/>
      </w:pPr>
      <w:r>
        <w:rPr>
          <w:rFonts w:hint="eastAsia"/>
        </w:rPr>
        <w:t>说明：</w:t>
      </w:r>
      <w:r>
        <w:rPr>
          <w:rFonts w:hint="eastAsia" w:ascii="Calibri"/>
          <w:lang w:val="zh-CN"/>
        </w:rPr>
        <w:t>上述证明文件在投标文件中附有代理人身份证复印（加盖公章件）时才能生效</w:t>
      </w:r>
      <w:r>
        <w:rPr>
          <w:rFonts w:hint="eastAsia"/>
        </w:rPr>
        <w:t>。投标人的投标文件均由投标人法定代表人签字的，则其投标文件中可不提供该附件的内容。</w:t>
      </w:r>
    </w:p>
    <w:p>
      <w:pPr>
        <w:bidi w:val="0"/>
        <w:spacing w:line="360" w:lineRule="auto"/>
      </w:pPr>
      <w:r>
        <w:rPr>
          <w:rFonts w:hint="eastAsia"/>
        </w:rPr>
        <w:br w:type="page"/>
      </w:r>
    </w:p>
    <w:p>
      <w:pPr>
        <w:bidi w:val="0"/>
        <w:spacing w:line="360" w:lineRule="auto"/>
      </w:pPr>
      <w:bookmarkStart w:id="192" w:name="_Toc23616"/>
      <w:bookmarkStart w:id="193" w:name="_Toc13372_WPSOffice_Level2"/>
      <w:bookmarkStart w:id="194" w:name="_Toc3764_WPSOffice_Level2"/>
      <w:r>
        <w:rPr>
          <w:rFonts w:hint="eastAsia"/>
        </w:rPr>
        <w:t>5.6项目服务实施方案</w:t>
      </w:r>
      <w:bookmarkEnd w:id="192"/>
      <w:bookmarkEnd w:id="193"/>
      <w:bookmarkEnd w:id="194"/>
    </w:p>
    <w:p>
      <w:pPr>
        <w:bidi w:val="0"/>
        <w:spacing w:line="360" w:lineRule="auto"/>
      </w:pPr>
      <w:r>
        <w:rPr>
          <w:rFonts w:hint="eastAsia"/>
        </w:rPr>
        <w:t>（请详细描述）</w:t>
      </w:r>
    </w:p>
    <w:p>
      <w:pPr>
        <w:bidi w:val="0"/>
        <w:spacing w:line="360" w:lineRule="auto"/>
      </w:pPr>
      <w:r>
        <w:rPr>
          <w:rFonts w:hint="eastAsia"/>
        </w:rPr>
        <w:br w:type="page"/>
      </w:r>
    </w:p>
    <w:p>
      <w:pPr>
        <w:bidi w:val="0"/>
        <w:spacing w:line="360" w:lineRule="auto"/>
      </w:pPr>
      <w:bookmarkStart w:id="195" w:name="_Toc208995467"/>
      <w:bookmarkEnd w:id="195"/>
      <w:bookmarkStart w:id="196" w:name="_Toc208399363"/>
      <w:bookmarkEnd w:id="196"/>
      <w:bookmarkStart w:id="197" w:name="_Toc208400147"/>
      <w:bookmarkEnd w:id="197"/>
      <w:bookmarkStart w:id="198" w:name="_Toc208722488"/>
      <w:bookmarkEnd w:id="198"/>
      <w:bookmarkStart w:id="199" w:name="_Toc214858830"/>
      <w:bookmarkEnd w:id="199"/>
      <w:bookmarkStart w:id="200" w:name="_Toc214858832"/>
      <w:bookmarkEnd w:id="200"/>
      <w:bookmarkStart w:id="201" w:name="_Toc214858837"/>
      <w:bookmarkStart w:id="202" w:name="_Toc181520579"/>
      <w:bookmarkStart w:id="203" w:name="_Toc6675"/>
      <w:bookmarkStart w:id="204" w:name="_Toc31306_WPSOffice_Level2"/>
      <w:bookmarkStart w:id="205" w:name="_Toc9492_WPSOffice_Level2"/>
      <w:r>
        <w:rPr>
          <w:rFonts w:hint="eastAsia"/>
        </w:rPr>
        <w:t>5.7服务承诺</w:t>
      </w:r>
      <w:bookmarkEnd w:id="201"/>
      <w:bookmarkEnd w:id="202"/>
      <w:bookmarkEnd w:id="203"/>
      <w:bookmarkEnd w:id="204"/>
      <w:bookmarkEnd w:id="205"/>
    </w:p>
    <w:p>
      <w:pPr>
        <w:bidi w:val="0"/>
        <w:spacing w:line="360" w:lineRule="auto"/>
        <w:rPr>
          <w:rFonts w:hint="eastAsia"/>
        </w:rPr>
      </w:pPr>
      <w:r>
        <w:rPr>
          <w:rFonts w:hint="eastAsia"/>
        </w:rPr>
        <w:t>项目名称：核工业成都机电学校密集柜采购项目</w:t>
      </w:r>
    </w:p>
    <w:bookmarkEnd w:id="155"/>
    <w:bookmarkEnd w:id="156"/>
    <w:bookmarkEnd w:id="157"/>
    <w:p>
      <w:pPr>
        <w:bidi w:val="0"/>
        <w:spacing w:line="360" w:lineRule="auto"/>
        <w:rPr>
          <w:rFonts w:hint="eastAsia"/>
        </w:rPr>
      </w:pPr>
      <w:r>
        <w:rPr>
          <w:rFonts w:hint="eastAsia"/>
        </w:rPr>
        <w:t>售后服务承诺：</w:t>
      </w:r>
    </w:p>
    <w:p>
      <w:pPr>
        <w:bidi w:val="0"/>
        <w:spacing w:line="360" w:lineRule="auto"/>
        <w:rPr>
          <w:rFonts w:hint="eastAsia"/>
        </w:rPr>
      </w:pPr>
      <w:r>
        <w:rPr>
          <w:rFonts w:hint="eastAsia"/>
        </w:rPr>
        <w:t xml:space="preserve"> 1.生产厂商或投标人自身提供的详细服务计划；</w:t>
      </w:r>
    </w:p>
    <w:p>
      <w:pPr>
        <w:bidi w:val="0"/>
        <w:spacing w:line="360" w:lineRule="auto"/>
        <w:rPr>
          <w:rFonts w:hint="eastAsia"/>
        </w:rPr>
      </w:pPr>
      <w:r>
        <w:rPr>
          <w:rFonts w:hint="eastAsia"/>
        </w:rPr>
        <w:t>2.对产品质量和售后服务的承诺和保障措施及免费维保期限等内容；</w:t>
      </w:r>
    </w:p>
    <w:p>
      <w:pPr>
        <w:bidi w:val="0"/>
        <w:spacing w:line="360" w:lineRule="auto"/>
        <w:rPr>
          <w:rFonts w:hint="eastAsia"/>
        </w:rPr>
      </w:pPr>
      <w:r>
        <w:rPr>
          <w:rFonts w:hint="eastAsia"/>
        </w:rPr>
        <w:t>3.如有的话还应包括对招标文件要求的售后服务或技术支持等服务条款的响应和承诺。</w:t>
      </w:r>
    </w:p>
    <w:p>
      <w:pPr>
        <w:bidi w:val="0"/>
        <w:spacing w:line="360" w:lineRule="auto"/>
        <w:rPr>
          <w:rFonts w:hint="eastAsia"/>
        </w:rPr>
      </w:pPr>
      <w:r>
        <w:rPr>
          <w:rFonts w:hint="eastAsia"/>
        </w:rPr>
        <w:t>投标人名称：</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(加盖公章)</w:t>
      </w:r>
      <w:bookmarkStart w:id="206" w:name="_Toc214858838"/>
      <w:bookmarkStart w:id="207" w:name="_Toc218498604"/>
    </w:p>
    <w:p>
      <w:pPr>
        <w:bidi w:val="0"/>
        <w:spacing w:line="360" w:lineRule="auto"/>
        <w:rPr>
          <w:rFonts w:hint="eastAsia"/>
        </w:rPr>
      </w:pPr>
      <w:r>
        <w:rPr>
          <w:rFonts w:hint="eastAsia"/>
        </w:rPr>
        <w:t>法定代表人或代理人：</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（签字）</w:t>
      </w:r>
      <w:bookmarkEnd w:id="206"/>
      <w:bookmarkEnd w:id="207"/>
      <w:bookmarkStart w:id="208" w:name="_Toc182649855"/>
      <w:bookmarkEnd w:id="208"/>
      <w:bookmarkStart w:id="209" w:name="_Toc182649369"/>
      <w:bookmarkEnd w:id="209"/>
      <w:bookmarkStart w:id="210" w:name="_Toc182649368"/>
      <w:bookmarkEnd w:id="210"/>
      <w:bookmarkStart w:id="211" w:name="_Toc182649365"/>
      <w:bookmarkEnd w:id="211"/>
      <w:bookmarkStart w:id="212" w:name="_Toc182649367"/>
      <w:bookmarkEnd w:id="212"/>
      <w:bookmarkStart w:id="213" w:name="_Toc182648593"/>
      <w:bookmarkEnd w:id="213"/>
      <w:bookmarkStart w:id="214" w:name="_Toc182711699"/>
      <w:bookmarkEnd w:id="214"/>
      <w:bookmarkStart w:id="215" w:name="_Toc182042563"/>
      <w:bookmarkEnd w:id="215"/>
      <w:bookmarkStart w:id="216" w:name="_Toc182711701"/>
      <w:bookmarkEnd w:id="216"/>
      <w:bookmarkStart w:id="217" w:name="_Toc182649174"/>
      <w:bookmarkEnd w:id="217"/>
      <w:bookmarkStart w:id="218" w:name="_Toc182726217"/>
      <w:bookmarkEnd w:id="218"/>
      <w:bookmarkStart w:id="219" w:name="_Toc182649854"/>
      <w:bookmarkEnd w:id="219"/>
      <w:bookmarkStart w:id="220" w:name="_Toc182275992"/>
      <w:bookmarkEnd w:id="220"/>
      <w:bookmarkStart w:id="221" w:name="_Toc182649375"/>
      <w:bookmarkEnd w:id="221"/>
      <w:bookmarkStart w:id="222" w:name="_Toc182712002"/>
      <w:bookmarkEnd w:id="222"/>
      <w:bookmarkStart w:id="223" w:name="_Toc182726216"/>
      <w:bookmarkEnd w:id="223"/>
      <w:bookmarkStart w:id="224" w:name="_Toc182712003"/>
      <w:bookmarkEnd w:id="224"/>
      <w:bookmarkStart w:id="225" w:name="_Toc182649183"/>
      <w:bookmarkEnd w:id="225"/>
      <w:bookmarkStart w:id="226" w:name="_Toc182648589"/>
      <w:bookmarkEnd w:id="226"/>
      <w:bookmarkStart w:id="227" w:name="_Toc182275989"/>
      <w:bookmarkEnd w:id="227"/>
      <w:bookmarkStart w:id="228" w:name="_Toc182275994"/>
      <w:bookmarkEnd w:id="228"/>
      <w:bookmarkStart w:id="229" w:name="_Toc182712004"/>
      <w:bookmarkEnd w:id="229"/>
      <w:bookmarkStart w:id="230" w:name="_Toc182649856"/>
      <w:bookmarkEnd w:id="230"/>
      <w:bookmarkStart w:id="231" w:name="_Toc182649363"/>
      <w:bookmarkEnd w:id="231"/>
      <w:bookmarkStart w:id="232" w:name="_Toc182044592"/>
      <w:bookmarkEnd w:id="232"/>
      <w:bookmarkStart w:id="233" w:name="_Toc182649175"/>
      <w:bookmarkEnd w:id="233"/>
      <w:bookmarkStart w:id="234" w:name="_Toc182712000"/>
      <w:bookmarkEnd w:id="234"/>
      <w:bookmarkStart w:id="235" w:name="_Toc182711694"/>
      <w:bookmarkEnd w:id="235"/>
      <w:bookmarkStart w:id="236" w:name="_Toc182649848"/>
      <w:bookmarkEnd w:id="236"/>
      <w:bookmarkStart w:id="237" w:name="_Toc182648588"/>
      <w:bookmarkEnd w:id="237"/>
      <w:bookmarkStart w:id="238" w:name="_Toc182042689"/>
      <w:bookmarkEnd w:id="238"/>
      <w:bookmarkStart w:id="239" w:name="_Toc182275991"/>
      <w:bookmarkEnd w:id="239"/>
      <w:bookmarkStart w:id="240" w:name="_Toc182042565"/>
      <w:bookmarkEnd w:id="240"/>
      <w:bookmarkStart w:id="241" w:name="_Toc182711700"/>
      <w:bookmarkEnd w:id="241"/>
      <w:bookmarkStart w:id="242" w:name="_Toc182649364"/>
      <w:bookmarkEnd w:id="242"/>
      <w:bookmarkStart w:id="243" w:name="_Toc182711696"/>
      <w:bookmarkEnd w:id="243"/>
      <w:bookmarkStart w:id="244" w:name="_Toc182712008"/>
      <w:bookmarkEnd w:id="244"/>
      <w:bookmarkStart w:id="245" w:name="_Toc182648584"/>
      <w:bookmarkEnd w:id="245"/>
      <w:bookmarkStart w:id="246" w:name="_Toc182044586"/>
      <w:bookmarkEnd w:id="246"/>
      <w:bookmarkStart w:id="247" w:name="_Toc182649182"/>
      <w:bookmarkEnd w:id="247"/>
      <w:bookmarkStart w:id="248" w:name="_Toc182276001"/>
      <w:bookmarkEnd w:id="248"/>
      <w:bookmarkStart w:id="249" w:name="_Toc182649849"/>
      <w:bookmarkEnd w:id="249"/>
      <w:bookmarkStart w:id="250" w:name="_Toc182649173"/>
      <w:bookmarkEnd w:id="250"/>
      <w:bookmarkStart w:id="251" w:name="_Toc182042570"/>
      <w:bookmarkEnd w:id="251"/>
      <w:bookmarkStart w:id="252" w:name="_Toc182712010"/>
      <w:bookmarkEnd w:id="252"/>
      <w:bookmarkStart w:id="253" w:name="_Toc182275996"/>
      <w:bookmarkEnd w:id="253"/>
      <w:bookmarkStart w:id="254" w:name="_Toc182042567"/>
      <w:bookmarkEnd w:id="254"/>
      <w:bookmarkStart w:id="255" w:name="_Toc182712005"/>
      <w:bookmarkEnd w:id="255"/>
      <w:bookmarkStart w:id="256" w:name="_Toc182711691"/>
      <w:bookmarkEnd w:id="256"/>
      <w:bookmarkStart w:id="257" w:name="_Toc182649176"/>
      <w:bookmarkEnd w:id="257"/>
      <w:bookmarkStart w:id="258" w:name="_Toc182726211"/>
      <w:bookmarkEnd w:id="258"/>
      <w:bookmarkStart w:id="259" w:name="_Toc182275993"/>
      <w:bookmarkEnd w:id="259"/>
      <w:bookmarkStart w:id="260" w:name="_Toc182044591"/>
      <w:bookmarkEnd w:id="260"/>
      <w:bookmarkStart w:id="261" w:name="_Toc182042564"/>
      <w:bookmarkEnd w:id="261"/>
      <w:bookmarkStart w:id="262" w:name="_Toc182042694"/>
      <w:bookmarkEnd w:id="262"/>
      <w:bookmarkStart w:id="263" w:name="_Toc182042693"/>
      <w:bookmarkEnd w:id="263"/>
      <w:bookmarkStart w:id="264" w:name="_Toc182648587"/>
      <w:bookmarkEnd w:id="264"/>
      <w:bookmarkStart w:id="265" w:name="_Toc182726222"/>
      <w:bookmarkEnd w:id="265"/>
      <w:bookmarkStart w:id="266" w:name="_Toc182044588"/>
      <w:bookmarkEnd w:id="266"/>
      <w:bookmarkStart w:id="267" w:name="_Toc182044585"/>
      <w:bookmarkEnd w:id="267"/>
      <w:bookmarkStart w:id="268" w:name="_Toc182649846"/>
      <w:bookmarkEnd w:id="268"/>
      <w:bookmarkStart w:id="269" w:name="_Toc182275995"/>
      <w:bookmarkEnd w:id="269"/>
      <w:bookmarkStart w:id="270" w:name="_Toc182044584"/>
      <w:bookmarkEnd w:id="270"/>
      <w:bookmarkStart w:id="271" w:name="_Toc182044581"/>
      <w:bookmarkEnd w:id="271"/>
      <w:bookmarkStart w:id="272" w:name="_Toc182042571"/>
      <w:bookmarkEnd w:id="272"/>
      <w:bookmarkStart w:id="273" w:name="_Toc182275990"/>
      <w:bookmarkEnd w:id="273"/>
      <w:bookmarkStart w:id="274" w:name="_Toc182649845"/>
      <w:bookmarkEnd w:id="274"/>
      <w:bookmarkStart w:id="275" w:name="_Toc182042699"/>
      <w:bookmarkEnd w:id="275"/>
      <w:bookmarkStart w:id="276" w:name="_Toc182726220"/>
      <w:bookmarkEnd w:id="276"/>
      <w:bookmarkStart w:id="277" w:name="_Toc182648585"/>
      <w:bookmarkEnd w:id="277"/>
      <w:bookmarkStart w:id="278" w:name="_Toc182711690"/>
      <w:bookmarkEnd w:id="278"/>
      <w:bookmarkStart w:id="279" w:name="_Toc182648586"/>
      <w:bookmarkEnd w:id="279"/>
      <w:bookmarkStart w:id="280" w:name="_Toc182711693"/>
      <w:bookmarkEnd w:id="280"/>
      <w:bookmarkStart w:id="281" w:name="_Toc182649844"/>
      <w:bookmarkEnd w:id="281"/>
      <w:bookmarkStart w:id="282" w:name="_Toc182649177"/>
      <w:bookmarkEnd w:id="282"/>
      <w:bookmarkStart w:id="283" w:name="_Toc182649172"/>
      <w:bookmarkEnd w:id="283"/>
      <w:bookmarkStart w:id="284" w:name="_Toc182711689"/>
      <w:bookmarkEnd w:id="284"/>
      <w:bookmarkStart w:id="285" w:name="_Toc182042700"/>
      <w:bookmarkEnd w:id="285"/>
      <w:bookmarkStart w:id="286" w:name="_Toc182044582"/>
      <w:bookmarkEnd w:id="286"/>
      <w:bookmarkStart w:id="287" w:name="_Toc182726215"/>
      <w:bookmarkEnd w:id="287"/>
      <w:bookmarkStart w:id="288" w:name="_Toc182042696"/>
      <w:bookmarkEnd w:id="288"/>
      <w:bookmarkStart w:id="289" w:name="_Toc182711998"/>
      <w:bookmarkEnd w:id="289"/>
      <w:bookmarkStart w:id="290" w:name="_Toc182042701"/>
      <w:bookmarkEnd w:id="290"/>
      <w:bookmarkStart w:id="291" w:name="_Toc182648595"/>
      <w:bookmarkEnd w:id="291"/>
      <w:bookmarkStart w:id="292" w:name="_Toc182044593"/>
      <w:bookmarkEnd w:id="292"/>
      <w:bookmarkStart w:id="293" w:name="_Toc182042695"/>
      <w:bookmarkEnd w:id="293"/>
      <w:bookmarkStart w:id="294" w:name="_Toc182649370"/>
      <w:bookmarkEnd w:id="294"/>
      <w:bookmarkStart w:id="295" w:name="_Toc182648594"/>
      <w:bookmarkEnd w:id="295"/>
      <w:bookmarkStart w:id="296" w:name="_Toc182711695"/>
      <w:bookmarkEnd w:id="296"/>
      <w:bookmarkStart w:id="297" w:name="_Toc182649184"/>
      <w:bookmarkEnd w:id="297"/>
      <w:bookmarkStart w:id="298" w:name="_Toc182649178"/>
      <w:bookmarkEnd w:id="298"/>
      <w:bookmarkStart w:id="299" w:name="_Toc182044587"/>
      <w:bookmarkEnd w:id="299"/>
      <w:bookmarkStart w:id="300" w:name="_Toc182042690"/>
      <w:bookmarkEnd w:id="300"/>
      <w:bookmarkStart w:id="301" w:name="_Toc182711692"/>
      <w:bookmarkEnd w:id="301"/>
      <w:bookmarkStart w:id="302" w:name="_Toc182649851"/>
      <w:bookmarkEnd w:id="302"/>
      <w:bookmarkStart w:id="303" w:name="_Toc182042560"/>
      <w:bookmarkEnd w:id="303"/>
      <w:bookmarkStart w:id="304" w:name="_Toc182726210"/>
      <w:bookmarkEnd w:id="304"/>
      <w:bookmarkStart w:id="305" w:name="_Toc182042562"/>
      <w:bookmarkEnd w:id="305"/>
      <w:bookmarkStart w:id="306" w:name="_Toc182711999"/>
      <w:bookmarkEnd w:id="306"/>
      <w:bookmarkStart w:id="307" w:name="_Toc182042566"/>
      <w:bookmarkEnd w:id="307"/>
      <w:bookmarkStart w:id="308" w:name="_Toc182276000"/>
      <w:bookmarkEnd w:id="308"/>
      <w:bookmarkStart w:id="309" w:name="_Toc182649850"/>
      <w:bookmarkEnd w:id="309"/>
      <w:bookmarkStart w:id="310" w:name="_Toc182042572"/>
      <w:bookmarkEnd w:id="310"/>
      <w:bookmarkStart w:id="311" w:name="_Toc182275999"/>
      <w:bookmarkEnd w:id="311"/>
      <w:bookmarkStart w:id="312" w:name="_Toc182712001"/>
      <w:bookmarkEnd w:id="312"/>
      <w:bookmarkStart w:id="313" w:name="_Toc182042692"/>
      <w:bookmarkEnd w:id="313"/>
      <w:bookmarkStart w:id="314" w:name="_Toc182044583"/>
      <w:bookmarkEnd w:id="314"/>
      <w:bookmarkStart w:id="315" w:name="_Toc182649179"/>
      <w:bookmarkEnd w:id="315"/>
      <w:bookmarkStart w:id="316" w:name="_Toc182649847"/>
      <w:bookmarkEnd w:id="316"/>
      <w:bookmarkStart w:id="317" w:name="_Toc182042561"/>
      <w:bookmarkEnd w:id="317"/>
      <w:bookmarkStart w:id="318" w:name="_Toc182648583"/>
      <w:bookmarkEnd w:id="318"/>
      <w:bookmarkStart w:id="319" w:name="_Toc182726214"/>
      <w:bookmarkEnd w:id="319"/>
      <w:bookmarkStart w:id="320" w:name="_Toc182726213"/>
      <w:bookmarkEnd w:id="320"/>
      <w:bookmarkStart w:id="321" w:name="_Toc182649374"/>
      <w:bookmarkEnd w:id="321"/>
      <w:bookmarkStart w:id="322" w:name="_Toc182726212"/>
      <w:bookmarkEnd w:id="322"/>
      <w:bookmarkStart w:id="323" w:name="_Toc182649366"/>
      <w:bookmarkEnd w:id="323"/>
      <w:bookmarkStart w:id="324" w:name="_Toc182726221"/>
      <w:bookmarkEnd w:id="324"/>
      <w:bookmarkStart w:id="325" w:name="_Toc182042691"/>
      <w:bookmarkEnd w:id="325"/>
      <w:bookmarkStart w:id="326" w:name="_Toc182649373"/>
      <w:bookmarkEnd w:id="326"/>
      <w:bookmarkStart w:id="327" w:name="_Toc182712009"/>
      <w:bookmarkEnd w:id="327"/>
      <w:bookmarkStart w:id="328" w:name="_Toc182648590"/>
      <w:bookmarkEnd w:id="328"/>
    </w:p>
    <w:p>
      <w:pPr>
        <w:bidi w:val="0"/>
        <w:spacing w:line="360" w:lineRule="auto"/>
        <w:rPr>
          <w:rFonts w:hint="eastAsia"/>
        </w:rPr>
      </w:pPr>
      <w:r>
        <w:rPr>
          <w:rFonts w:hint="eastAsia"/>
        </w:rPr>
        <w:t>日      期：   年   月   日</w:t>
      </w:r>
    </w:p>
    <w:p>
      <w:pPr>
        <w:bidi w:val="0"/>
        <w:spacing w:line="360" w:lineRule="auto"/>
      </w:pPr>
      <w:r>
        <w:rPr>
          <w:rFonts w:hint="eastAsia"/>
        </w:rPr>
        <w:br w:type="page"/>
      </w:r>
    </w:p>
    <w:p>
      <w:pPr>
        <w:bidi w:val="0"/>
        <w:spacing w:line="360" w:lineRule="auto"/>
      </w:pPr>
      <w:bookmarkStart w:id="329" w:name="_Toc15237_WPSOffice_Level2"/>
      <w:bookmarkStart w:id="330" w:name="_Toc928_WPSOffice_Level2"/>
      <w:bookmarkStart w:id="331" w:name="_Toc5752"/>
      <w:r>
        <w:rPr>
          <w:rFonts w:hint="eastAsia"/>
        </w:rPr>
        <w:t>5.8附件</w:t>
      </w:r>
      <w:bookmarkEnd w:id="329"/>
      <w:bookmarkEnd w:id="330"/>
      <w:bookmarkEnd w:id="331"/>
    </w:p>
    <w:p>
      <w:pPr>
        <w:bidi w:val="0"/>
        <w:spacing w:line="360" w:lineRule="auto"/>
        <w:rPr>
          <w:rFonts w:hint="eastAsia"/>
        </w:rPr>
      </w:pPr>
      <w:r>
        <w:rPr>
          <w:rFonts w:hint="eastAsia"/>
        </w:rPr>
        <w:t>投标人参加本次投标必须提供以下资格证明文件：</w:t>
      </w:r>
    </w:p>
    <w:p>
      <w:pPr>
        <w:bidi w:val="0"/>
        <w:spacing w:line="360" w:lineRule="auto"/>
        <w:rPr>
          <w:rFonts w:hint="eastAsia"/>
        </w:rPr>
      </w:pPr>
      <w:r>
        <w:rPr>
          <w:rFonts w:hint="eastAsia"/>
        </w:rPr>
        <w:t>1、经年检的营业执照（复印件加盖投标人公章[鲜章]）</w:t>
      </w:r>
    </w:p>
    <w:p>
      <w:pPr>
        <w:bidi w:val="0"/>
        <w:spacing w:line="360" w:lineRule="auto"/>
        <w:rPr>
          <w:rFonts w:hint="eastAsia"/>
        </w:rPr>
      </w:pPr>
      <w:r>
        <w:rPr>
          <w:rFonts w:hint="eastAsia"/>
        </w:rPr>
        <w:t>2、经年检的税务登记证（复印件加盖投标人公章[鲜章]）</w:t>
      </w:r>
    </w:p>
    <w:p>
      <w:pPr>
        <w:bidi w:val="0"/>
        <w:spacing w:line="360" w:lineRule="auto"/>
        <w:rPr>
          <w:rFonts w:hint="eastAsia"/>
        </w:rPr>
      </w:pPr>
      <w:r>
        <w:rPr>
          <w:rFonts w:hint="eastAsia"/>
        </w:rPr>
        <w:t>3、经年检的组织机构代码证（复印件加盖投标人公章[鲜章]）</w:t>
      </w:r>
    </w:p>
    <w:p>
      <w:pPr>
        <w:bidi w:val="0"/>
        <w:spacing w:line="360" w:lineRule="auto"/>
        <w:rPr>
          <w:rFonts w:hint="eastAsia"/>
        </w:rPr>
      </w:pPr>
      <w:r>
        <w:rPr>
          <w:rFonts w:hint="eastAsia"/>
        </w:rPr>
        <w:t>4、法人身份证复印件（并加盖单位公章）</w:t>
      </w:r>
    </w:p>
    <w:p>
      <w:pPr>
        <w:bidi w:val="0"/>
        <w:spacing w:line="360" w:lineRule="auto"/>
        <w:rPr>
          <w:rFonts w:hint="eastAsia"/>
        </w:rPr>
      </w:pPr>
      <w:r>
        <w:rPr>
          <w:rFonts w:hint="eastAsia"/>
        </w:rPr>
        <w:t>5、授权代表身份证复印件（并加盖单位公章）</w:t>
      </w:r>
    </w:p>
    <w:p>
      <w:pPr>
        <w:bidi w:val="0"/>
        <w:spacing w:line="360" w:lineRule="auto"/>
      </w:pPr>
    </w:p>
    <w:p>
      <w:pPr>
        <w:bidi w:val="0"/>
        <w:spacing w:line="360" w:lineRule="auto"/>
      </w:pPr>
      <w:r>
        <w:br w:type="page"/>
      </w:r>
    </w:p>
    <w:p>
      <w:pPr>
        <w:bidi w:val="0"/>
        <w:spacing w:line="360" w:lineRule="auto"/>
        <w:rPr>
          <w:rFonts w:hint="eastAsia"/>
        </w:rPr>
      </w:pPr>
      <w:bookmarkStart w:id="332" w:name="_Toc20393_WPSOffice_Level2"/>
      <w:bookmarkStart w:id="333" w:name="_Toc9876_WPSOffice_Level2"/>
      <w:r>
        <w:rPr>
          <w:rFonts w:hint="eastAsia"/>
        </w:rPr>
        <w:t>5.9 合同</w:t>
      </w:r>
      <w:bookmarkEnd w:id="332"/>
      <w:bookmarkEnd w:id="333"/>
    </w:p>
    <w:p>
      <w:pPr>
        <w:bidi w:val="0"/>
        <w:spacing w:line="360" w:lineRule="auto"/>
      </w:pPr>
      <w:bookmarkStart w:id="334" w:name="_Toc349810624"/>
      <w:r>
        <w:rPr>
          <w:rFonts w:hint="eastAsia"/>
        </w:rPr>
        <w:t>合同主要条款（仅供参考）</w:t>
      </w:r>
    </w:p>
    <w:p>
      <w:pPr>
        <w:bidi w:val="0"/>
        <w:spacing w:line="360" w:lineRule="auto"/>
        <w:rPr>
          <w:rFonts w:hint="eastAsia"/>
          <w:lang w:eastAsia="zh-CN"/>
        </w:rPr>
      </w:pPr>
      <w:r>
        <w:rPr>
          <w:rFonts w:hint="eastAsia"/>
        </w:rPr>
        <w:t>买方：</w:t>
      </w:r>
      <w:r>
        <w:rPr>
          <w:rFonts w:hint="eastAsia" w:eastAsia="宋体"/>
          <w:lang w:eastAsia="zh-CN"/>
        </w:rPr>
        <w:t>核工业成都机电学校</w:t>
      </w:r>
    </w:p>
    <w:p>
      <w:pPr>
        <w:bidi w:val="0"/>
        <w:spacing w:line="360" w:lineRule="auto"/>
      </w:pPr>
      <w:r>
        <w:rPr>
          <w:rFonts w:hint="eastAsia"/>
        </w:rPr>
        <w:t>卖方：X</w:t>
      </w:r>
      <w:r>
        <w:t>XXXXX</w:t>
      </w:r>
    </w:p>
    <w:p>
      <w:pPr>
        <w:bidi w:val="0"/>
        <w:spacing w:line="360" w:lineRule="auto"/>
      </w:pPr>
    </w:p>
    <w:p>
      <w:pPr>
        <w:bidi w:val="0"/>
        <w:spacing w:line="360" w:lineRule="auto"/>
      </w:pPr>
      <w:r>
        <w:rPr>
          <w:rFonts w:hint="eastAsia"/>
        </w:rPr>
        <w:t xml:space="preserve">    为保障买卖双方的合法权益，根据《中华人民共和国合同法》及有关法律法规，双方经友好协商，一致同意按以下条款签订家具购销合同。</w:t>
      </w:r>
    </w:p>
    <w:p>
      <w:pPr>
        <w:bidi w:val="0"/>
        <w:spacing w:line="360" w:lineRule="auto"/>
      </w:pPr>
      <w:r>
        <w:rPr>
          <w:rFonts w:hint="eastAsia"/>
        </w:rPr>
        <w:t>一、货物名称：</w:t>
      </w:r>
      <w:r>
        <w:rPr>
          <w:rFonts w:hint="eastAsia" w:eastAsia="宋体"/>
          <w:lang w:eastAsia="zh-CN"/>
        </w:rPr>
        <w:t>智能密集柜</w:t>
      </w:r>
      <w:r>
        <w:rPr>
          <w:rFonts w:hint="eastAsia"/>
        </w:rPr>
        <w:t>。</w:t>
      </w:r>
    </w:p>
    <w:p>
      <w:pPr>
        <w:bidi w:val="0"/>
        <w:spacing w:line="360" w:lineRule="auto"/>
      </w:pPr>
      <w:r>
        <w:rPr>
          <w:rFonts w:hint="eastAsia"/>
        </w:rPr>
        <w:t>二、货物明细：商品名称、尺寸、颜色、单价和数量等，详见</w:t>
      </w:r>
      <w:r>
        <w:rPr>
          <w:rFonts w:hint="eastAsia" w:eastAsia="宋体"/>
          <w:lang w:eastAsia="zh-CN"/>
        </w:rPr>
        <w:t>附件清单</w:t>
      </w:r>
      <w:r>
        <w:rPr>
          <w:rFonts w:hint="eastAsia"/>
        </w:rPr>
        <w:t>。</w:t>
      </w:r>
    </w:p>
    <w:p>
      <w:pPr>
        <w:bidi w:val="0"/>
        <w:spacing w:line="360" w:lineRule="auto"/>
      </w:pPr>
      <w:r>
        <w:rPr>
          <w:rFonts w:hint="eastAsia"/>
        </w:rPr>
        <w:t>三、合同金额：</w:t>
      </w:r>
    </w:p>
    <w:p>
      <w:pPr>
        <w:bidi w:val="0"/>
        <w:spacing w:line="360" w:lineRule="auto"/>
      </w:pPr>
      <w:r>
        <w:rPr>
          <w:rFonts w:hint="eastAsia"/>
        </w:rPr>
        <w:t>合同金额：￥</w:t>
      </w:r>
      <w:r>
        <w:t>XXXXXX</w:t>
      </w:r>
      <w:r>
        <w:rPr>
          <w:rFonts w:hint="eastAsia"/>
        </w:rPr>
        <w:t>,包括运输及运输保险费、工地安装费及税金等。</w:t>
      </w:r>
    </w:p>
    <w:p>
      <w:pPr>
        <w:bidi w:val="0"/>
        <w:spacing w:line="360" w:lineRule="auto"/>
      </w:pPr>
      <w:r>
        <w:rPr>
          <w:rFonts w:hint="eastAsia"/>
        </w:rPr>
        <w:t xml:space="preserve">  本合同以人民币进行结算，合同金额已包括货物送达买方指定地点、安装调试及交付使用发生的所有费用。</w:t>
      </w:r>
    </w:p>
    <w:p>
      <w:pPr>
        <w:bidi w:val="0"/>
        <w:spacing w:line="360" w:lineRule="auto"/>
      </w:pPr>
      <w:r>
        <w:rPr>
          <w:rFonts w:hint="eastAsia"/>
        </w:rPr>
        <w:t>四、付款条件：</w:t>
      </w:r>
    </w:p>
    <w:p>
      <w:pPr>
        <w:bidi w:val="0"/>
        <w:spacing w:line="360" w:lineRule="auto"/>
      </w:pPr>
      <w:r>
        <w:rPr>
          <w:rFonts w:hint="eastAsia"/>
        </w:rPr>
        <w:t>1. 合同预付款: 本合同生效后五个工作日内，买方付给卖方预付款￥</w:t>
      </w:r>
      <w:r>
        <w:t>XXXXX</w:t>
      </w:r>
      <w:r>
        <w:rPr>
          <w:rFonts w:hint="eastAsia"/>
        </w:rPr>
        <w:t>元(人民币大写：X</w:t>
      </w:r>
      <w:r>
        <w:t>XXXXX</w:t>
      </w:r>
      <w:r>
        <w:rPr>
          <w:rFonts w:hint="eastAsia"/>
        </w:rPr>
        <w:t>)。</w:t>
      </w:r>
    </w:p>
    <w:p>
      <w:pPr>
        <w:bidi w:val="0"/>
        <w:spacing w:line="360" w:lineRule="auto"/>
      </w:pPr>
      <w:r>
        <w:rPr>
          <w:rFonts w:hint="eastAsia"/>
        </w:rPr>
        <w:t>2.买方于货物安装调试验收合格后的五个工作日内向卖方付清合同余款￥</w:t>
      </w:r>
      <w:r>
        <w:t>XXXXXX</w:t>
      </w:r>
      <w:r>
        <w:rPr>
          <w:rFonts w:hint="eastAsia"/>
        </w:rPr>
        <w:t>(人民币大写：X</w:t>
      </w:r>
      <w:r>
        <w:t>XXXXX</w:t>
      </w:r>
      <w:r>
        <w:rPr>
          <w:rFonts w:hint="eastAsia"/>
        </w:rPr>
        <w:t>)。</w:t>
      </w:r>
    </w:p>
    <w:p>
      <w:pPr>
        <w:bidi w:val="0"/>
        <w:spacing w:line="360" w:lineRule="auto"/>
      </w:pPr>
      <w:r>
        <w:rPr>
          <w:rFonts w:hint="eastAsia"/>
        </w:rPr>
        <w:t>五、交验条款：</w:t>
      </w:r>
    </w:p>
    <w:p>
      <w:pPr>
        <w:bidi w:val="0"/>
        <w:spacing w:line="360" w:lineRule="auto"/>
      </w:pPr>
      <w:r>
        <w:rPr>
          <w:rFonts w:hint="eastAsia"/>
        </w:rPr>
        <w:t>1. 卖方于合同签订且双方根据甲方最新装修施工图重新确认家具布局图后</w:t>
      </w:r>
      <w:r>
        <w:t>XXXXXX</w:t>
      </w:r>
      <w:r>
        <w:rPr>
          <w:rFonts w:hint="eastAsia"/>
        </w:rPr>
        <w:t>个工作日后完成送货、安装和调试。买方须于卖方安装调试完毕</w:t>
      </w:r>
      <w:r>
        <w:t xml:space="preserve"> 3 </w:t>
      </w:r>
      <w:r>
        <w:rPr>
          <w:rFonts w:hint="eastAsia"/>
        </w:rPr>
        <w:t>日内组织验收。</w:t>
      </w:r>
    </w:p>
    <w:p>
      <w:pPr>
        <w:bidi w:val="0"/>
        <w:spacing w:line="360" w:lineRule="auto"/>
      </w:pPr>
      <w:r>
        <w:rPr>
          <w:rFonts w:hint="eastAsia"/>
        </w:rPr>
        <w:t xml:space="preserve">    若装修施工延期，则卖方之家具送货、安装时间顺延。</w:t>
      </w:r>
    </w:p>
    <w:p>
      <w:pPr>
        <w:bidi w:val="0"/>
        <w:spacing w:line="360" w:lineRule="auto"/>
      </w:pPr>
      <w:r>
        <w:rPr>
          <w:rFonts w:hint="eastAsia"/>
        </w:rPr>
        <w:t>2. 送货及安装地点：</w:t>
      </w:r>
      <w:r>
        <w:t>XXXXXX</w:t>
      </w:r>
      <w:r>
        <w:rPr>
          <w:rFonts w:hint="eastAsia"/>
        </w:rPr>
        <w:t xml:space="preserve"> </w:t>
      </w:r>
    </w:p>
    <w:p>
      <w:pPr>
        <w:bidi w:val="0"/>
        <w:spacing w:line="360" w:lineRule="auto"/>
      </w:pPr>
      <w:r>
        <w:rPr>
          <w:rFonts w:hint="eastAsia"/>
        </w:rPr>
        <w:t>六、货物运输和安装</w:t>
      </w:r>
    </w:p>
    <w:p>
      <w:pPr>
        <w:bidi w:val="0"/>
        <w:spacing w:line="360" w:lineRule="auto"/>
      </w:pPr>
      <w:r>
        <w:rPr>
          <w:rFonts w:hint="eastAsia"/>
        </w:rPr>
        <w:t>1. 货物运输由卖方负责。</w:t>
      </w:r>
    </w:p>
    <w:p>
      <w:pPr>
        <w:bidi w:val="0"/>
        <w:spacing w:line="360" w:lineRule="auto"/>
      </w:pPr>
      <w:r>
        <w:rPr>
          <w:rFonts w:hint="eastAsia"/>
        </w:rPr>
        <w:t>2. 货物安装由卖方根据买卖双方共同确定的设计图纸，负责安装并调试合格。安装过程中的施工安全由卖方负责。</w:t>
      </w:r>
    </w:p>
    <w:p>
      <w:pPr>
        <w:bidi w:val="0"/>
        <w:spacing w:line="360" w:lineRule="auto"/>
      </w:pPr>
      <w:r>
        <w:rPr>
          <w:rFonts w:hint="eastAsia"/>
        </w:rPr>
        <w:t>七、修改合同：</w:t>
      </w:r>
    </w:p>
    <w:p>
      <w:pPr>
        <w:bidi w:val="0"/>
        <w:spacing w:line="360" w:lineRule="auto"/>
      </w:pPr>
      <w:r>
        <w:rPr>
          <w:rFonts w:hint="eastAsia"/>
        </w:rPr>
        <w:t>合同签订后，如因买方无故修改合约而取消部分已订之货物，由此造成卖方于生产或外购该批货物的材料和劳务损失，将由买方承担责任。</w:t>
      </w:r>
    </w:p>
    <w:p>
      <w:pPr>
        <w:bidi w:val="0"/>
        <w:spacing w:line="360" w:lineRule="auto"/>
      </w:pPr>
      <w:r>
        <w:rPr>
          <w:rFonts w:hint="eastAsia"/>
        </w:rPr>
        <w:t>八、产品质量要求及售后服务：</w:t>
      </w:r>
    </w:p>
    <w:p>
      <w:pPr>
        <w:bidi w:val="0"/>
        <w:spacing w:line="360" w:lineRule="auto"/>
      </w:pPr>
      <w:r>
        <w:rPr>
          <w:rFonts w:hint="eastAsia"/>
        </w:rPr>
        <w:t xml:space="preserve">卖方提供的货物必须是全新的（包括零部件）合格产品。产品质量必须符合国家规定的检测标准及本合同的约定，于ISO9001质量管理体系下进行生产及管理。 </w:t>
      </w:r>
    </w:p>
    <w:p>
      <w:pPr>
        <w:bidi w:val="0"/>
        <w:spacing w:line="360" w:lineRule="auto"/>
      </w:pPr>
      <w:r>
        <w:rPr>
          <w:rFonts w:hint="eastAsia"/>
        </w:rPr>
        <w:t xml:space="preserve">卖方提供的家具质保期 </w:t>
      </w:r>
      <w:r>
        <w:rPr>
          <w:rFonts w:hint="eastAsia" w:eastAsia="宋体"/>
          <w:lang w:eastAsia="zh-CN"/>
        </w:rPr>
        <w:t>二</w:t>
      </w:r>
      <w:r>
        <w:t xml:space="preserve"> </w:t>
      </w:r>
      <w:r>
        <w:rPr>
          <w:rFonts w:hint="eastAsia"/>
        </w:rPr>
        <w:t>年 ，</w:t>
      </w:r>
      <w:r>
        <w:rPr>
          <w:rFonts w:hint="eastAsia" w:eastAsia="宋体"/>
          <w:lang w:eastAsia="zh-CN"/>
        </w:rPr>
        <w:t>两</w:t>
      </w:r>
      <w:r>
        <w:rPr>
          <w:rFonts w:hint="eastAsia"/>
        </w:rPr>
        <w:t>年内产品出现质量问题（非人为造成的损坏）的，由卖方免费维修或更换， 并终身免费维护、保养。</w:t>
      </w:r>
    </w:p>
    <w:p>
      <w:pPr>
        <w:bidi w:val="0"/>
        <w:spacing w:line="360" w:lineRule="auto"/>
      </w:pPr>
      <w:r>
        <w:rPr>
          <w:rFonts w:hint="eastAsia"/>
        </w:rPr>
        <w:t>售后服务响应时间：接到买方通知24小时内处理完毕。</w:t>
      </w:r>
    </w:p>
    <w:p>
      <w:pPr>
        <w:bidi w:val="0"/>
        <w:spacing w:line="360" w:lineRule="auto"/>
      </w:pPr>
      <w:r>
        <w:rPr>
          <w:rFonts w:hint="eastAsia"/>
        </w:rPr>
        <w:t>九、违约责任：</w:t>
      </w:r>
    </w:p>
    <w:p>
      <w:pPr>
        <w:bidi w:val="0"/>
        <w:spacing w:line="360" w:lineRule="auto"/>
      </w:pPr>
      <w:r>
        <w:rPr>
          <w:rFonts w:hint="eastAsia"/>
        </w:rPr>
        <w:t xml:space="preserve">    买方无正当理由拒收货物时，买方须向卖方偿付相应货物总金额5%的违约金。</w:t>
      </w:r>
    </w:p>
    <w:p>
      <w:pPr>
        <w:bidi w:val="0"/>
        <w:spacing w:line="360" w:lineRule="auto"/>
      </w:pPr>
      <w:r>
        <w:rPr>
          <w:rFonts w:hint="eastAsia"/>
        </w:rPr>
        <w:t>若买方逾期付款，则须向卖方支付逾期违约金，每天以未付金额之千分之一计。</w:t>
      </w:r>
    </w:p>
    <w:p>
      <w:pPr>
        <w:bidi w:val="0"/>
        <w:spacing w:line="360" w:lineRule="auto"/>
      </w:pPr>
      <w:r>
        <w:rPr>
          <w:rFonts w:hint="eastAsia"/>
        </w:rPr>
        <w:t>若卖方不能按期交付货品时，卖方应向买方支付未交付货品之总值每天计千分之一的违约金。如由于卖方原因导致货物延期交付超过10天，卖方应承担货款总额5%的违约金。</w:t>
      </w:r>
    </w:p>
    <w:p>
      <w:pPr>
        <w:bidi w:val="0"/>
        <w:spacing w:line="360" w:lineRule="auto"/>
      </w:pPr>
      <w:r>
        <w:rPr>
          <w:rFonts w:hint="eastAsia"/>
        </w:rPr>
        <w:t xml:space="preserve">    卖方所交货物品种、规格、质量等不符合本合同文件规定标准时，买方有权拒绝收货，卖方退还买方预付金，同时支付买方相应货物总金额5%的违约金。</w:t>
      </w:r>
    </w:p>
    <w:p>
      <w:pPr>
        <w:bidi w:val="0"/>
        <w:spacing w:line="360" w:lineRule="auto"/>
      </w:pPr>
      <w:r>
        <w:rPr>
          <w:rFonts w:hint="eastAsia"/>
        </w:rPr>
        <w:t>十、免责条款</w:t>
      </w:r>
    </w:p>
    <w:p>
      <w:pPr>
        <w:bidi w:val="0"/>
        <w:spacing w:line="360" w:lineRule="auto"/>
      </w:pPr>
      <w:r>
        <w:rPr>
          <w:rFonts w:hint="eastAsia"/>
        </w:rPr>
        <w:t>不可抗力因素导致的免责问题，双方友好协商解决。</w:t>
      </w:r>
    </w:p>
    <w:p>
      <w:pPr>
        <w:bidi w:val="0"/>
        <w:spacing w:line="360" w:lineRule="auto"/>
      </w:pPr>
      <w:r>
        <w:rPr>
          <w:rFonts w:hint="eastAsia"/>
        </w:rPr>
        <w:t>十一、附加条款：</w:t>
      </w:r>
    </w:p>
    <w:p>
      <w:pPr>
        <w:bidi w:val="0"/>
        <w:spacing w:line="360" w:lineRule="auto"/>
      </w:pPr>
      <w:r>
        <w:rPr>
          <w:rFonts w:hint="eastAsia"/>
        </w:rPr>
        <w:t>1.本合同在买卖双方代表签字或盖章并加盖公章后生效。</w:t>
      </w:r>
    </w:p>
    <w:p>
      <w:pPr>
        <w:bidi w:val="0"/>
        <w:spacing w:line="360" w:lineRule="auto"/>
      </w:pPr>
      <w:r>
        <w:rPr>
          <w:rFonts w:hint="eastAsia"/>
        </w:rPr>
        <w:t>2. 若买方在一年内购买本合同家具清单中同款家具，则按本合同家具清单中相应产品单价和现价之较低价执行。</w:t>
      </w:r>
    </w:p>
    <w:p>
      <w:pPr>
        <w:bidi w:val="0"/>
        <w:spacing w:line="360" w:lineRule="auto"/>
      </w:pPr>
      <w:r>
        <w:rPr>
          <w:rFonts w:hint="eastAsia"/>
        </w:rPr>
        <w:t>十二、因产品的质量问题发生争议的，首先由双方协商解决，协商不成的，按照法律法规的规定由国家有关部门鉴定解决。</w:t>
      </w:r>
    </w:p>
    <w:p>
      <w:pPr>
        <w:bidi w:val="0"/>
        <w:spacing w:line="360" w:lineRule="auto"/>
      </w:pPr>
      <w:r>
        <w:rPr>
          <w:rFonts w:hint="eastAsia"/>
        </w:rPr>
        <w:t>十三、本合同发生争议产生的诉讼，由买方所在地人民法院管辖。</w:t>
      </w:r>
    </w:p>
    <w:p>
      <w:pPr>
        <w:bidi w:val="0"/>
        <w:spacing w:line="360" w:lineRule="auto"/>
      </w:pPr>
      <w:r>
        <w:rPr>
          <w:rFonts w:hint="eastAsia"/>
        </w:rPr>
        <w:t>十四、合同文本一式X</w:t>
      </w:r>
      <w:r>
        <w:t>XX</w:t>
      </w:r>
      <w:r>
        <w:rPr>
          <w:rFonts w:hint="eastAsia"/>
        </w:rPr>
        <w:t>份，双方签字盖章后各执X</w:t>
      </w:r>
      <w:r>
        <w:t>XXX</w:t>
      </w:r>
      <w:r>
        <w:rPr>
          <w:rFonts w:hint="eastAsia"/>
        </w:rPr>
        <w:t>份,具有同等法律效力。</w:t>
      </w:r>
    </w:p>
    <w:p>
      <w:pPr>
        <w:bidi w:val="0"/>
        <w:spacing w:line="360" w:lineRule="auto"/>
      </w:pPr>
    </w:p>
    <w:p>
      <w:pPr>
        <w:bidi w:val="0"/>
        <w:spacing w:line="360" w:lineRule="auto"/>
      </w:pPr>
      <w:r>
        <w:rPr>
          <w:rFonts w:hint="eastAsia"/>
        </w:rPr>
        <w:t>买方：</w:t>
      </w:r>
      <w:r>
        <w:rPr>
          <w:rFonts w:hint="eastAsia" w:eastAsia="宋体"/>
          <w:lang w:eastAsia="zh-CN"/>
        </w:rPr>
        <w:t>核工业成都机电学校</w:t>
      </w:r>
      <w:r>
        <w:rPr>
          <w:rFonts w:hint="eastAsia"/>
        </w:rPr>
        <w:t xml:space="preserve">     </w:t>
      </w:r>
      <w:r>
        <w:t xml:space="preserve"> </w:t>
      </w:r>
      <w:r>
        <w:rPr>
          <w:rFonts w:hint="eastAsia"/>
        </w:rPr>
        <w:t xml:space="preserve">                 </w:t>
      </w:r>
      <w:r>
        <w:rPr>
          <w:rFonts w:hint="eastAsia" w:ascii="Calibri" w:eastAsia="宋体"/>
          <w:lang w:val="en-US" w:eastAsia="zh-CN"/>
        </w:rPr>
        <w:t xml:space="preserve">  </w:t>
      </w:r>
      <w:r>
        <w:rPr>
          <w:rFonts w:hint="eastAsia"/>
        </w:rPr>
        <w:t>卖方：</w:t>
      </w:r>
    </w:p>
    <w:p>
      <w:pPr>
        <w:bidi w:val="0"/>
        <w:spacing w:line="360" w:lineRule="auto"/>
      </w:pPr>
      <w:r>
        <w:rPr>
          <w:rFonts w:hint="eastAsia"/>
        </w:rPr>
        <w:t xml:space="preserve">名称（印章）：                                   名称（印章）： </w:t>
      </w:r>
    </w:p>
    <w:p>
      <w:pPr>
        <w:bidi w:val="0"/>
        <w:spacing w:line="360" w:lineRule="auto"/>
      </w:pPr>
      <w:r>
        <w:rPr>
          <w:rFonts w:hint="eastAsia"/>
        </w:rPr>
        <w:t xml:space="preserve">法定代表人/负责人或代理人                       </w:t>
      </w:r>
      <w:r>
        <w:t xml:space="preserve"> </w:t>
      </w:r>
      <w:r>
        <w:rPr>
          <w:rFonts w:hint="eastAsia"/>
        </w:rPr>
        <w:t>法定代表人或代理人</w:t>
      </w:r>
    </w:p>
    <w:p>
      <w:pPr>
        <w:bidi w:val="0"/>
        <w:spacing w:line="360" w:lineRule="auto"/>
      </w:pPr>
      <w:r>
        <w:rPr>
          <w:rFonts w:hint="eastAsia"/>
        </w:rPr>
        <w:t>（签章）：                                       （签章）：</w:t>
      </w:r>
    </w:p>
    <w:p>
      <w:pPr>
        <w:bidi w:val="0"/>
        <w:spacing w:line="360" w:lineRule="auto"/>
      </w:pPr>
      <w:r>
        <w:rPr>
          <w:rFonts w:hint="eastAsia"/>
        </w:rPr>
        <w:t xml:space="preserve">住所地：                       </w:t>
      </w:r>
      <w:r>
        <w:t xml:space="preserve"> </w:t>
      </w:r>
      <w:r>
        <w:rPr>
          <w:rFonts w:hint="eastAsia"/>
        </w:rPr>
        <w:t xml:space="preserve">                 住所地： </w:t>
      </w:r>
    </w:p>
    <w:p>
      <w:pPr>
        <w:bidi w:val="0"/>
        <w:spacing w:line="360" w:lineRule="auto"/>
      </w:pPr>
      <w:r>
        <w:rPr>
          <w:rFonts w:hint="eastAsia"/>
        </w:rPr>
        <w:t xml:space="preserve">联系人：                      </w:t>
      </w:r>
      <w:r>
        <w:t xml:space="preserve"> </w:t>
      </w:r>
      <w:r>
        <w:rPr>
          <w:rFonts w:hint="eastAsia"/>
        </w:rPr>
        <w:t xml:space="preserve">                  联系人： </w:t>
      </w:r>
    </w:p>
    <w:p>
      <w:pPr>
        <w:bidi w:val="0"/>
        <w:spacing w:line="360" w:lineRule="auto"/>
      </w:pPr>
      <w:r>
        <w:rPr>
          <w:rFonts w:hint="eastAsia"/>
        </w:rPr>
        <w:t xml:space="preserve">电话：                        </w:t>
      </w:r>
      <w:r>
        <w:t xml:space="preserve"> </w:t>
      </w:r>
      <w:r>
        <w:rPr>
          <w:rFonts w:hint="eastAsia"/>
        </w:rPr>
        <w:t xml:space="preserve">                  电话：</w:t>
      </w:r>
    </w:p>
    <w:p>
      <w:pPr>
        <w:bidi w:val="0"/>
        <w:spacing w:line="360" w:lineRule="auto"/>
      </w:pPr>
      <w:r>
        <w:rPr>
          <w:rFonts w:hint="eastAsia"/>
        </w:rPr>
        <w:t xml:space="preserve">开户银行：                  　                  </w:t>
      </w:r>
      <w:r>
        <w:t xml:space="preserve"> </w:t>
      </w:r>
      <w:r>
        <w:rPr>
          <w:rFonts w:hint="eastAsia"/>
        </w:rPr>
        <w:t>开户银行：</w:t>
      </w:r>
    </w:p>
    <w:p>
      <w:pPr>
        <w:bidi w:val="0"/>
        <w:spacing w:line="360" w:lineRule="auto"/>
      </w:pPr>
      <w:r>
        <w:rPr>
          <w:rFonts w:hint="eastAsia"/>
        </w:rPr>
        <w:t xml:space="preserve">账号：                         </w:t>
      </w:r>
      <w:r>
        <w:t xml:space="preserve"> </w:t>
      </w:r>
      <w:r>
        <w:rPr>
          <w:rFonts w:hint="eastAsia"/>
        </w:rPr>
        <w:t xml:space="preserve">                 账号：</w:t>
      </w:r>
    </w:p>
    <w:p>
      <w:pPr>
        <w:bidi w:val="0"/>
        <w:spacing w:line="360" w:lineRule="auto"/>
      </w:pPr>
      <w:r>
        <w:rPr>
          <w:rFonts w:hint="eastAsia"/>
        </w:rPr>
        <w:t xml:space="preserve">日期：     年    月    日      </w:t>
      </w:r>
      <w:r>
        <w:t xml:space="preserve"> </w:t>
      </w:r>
      <w:r>
        <w:rPr>
          <w:rFonts w:hint="eastAsia"/>
        </w:rPr>
        <w:t xml:space="preserve">                日期：     年    月    日</w:t>
      </w:r>
      <w:bookmarkEnd w:id="334"/>
    </w:p>
    <w:p>
      <w:bookmarkStart w:id="335" w:name="_GoBack"/>
      <w:bookmarkEnd w:id="335"/>
    </w:p>
    <w:sectPr>
      <w:headerReference r:id="rId6" w:type="default"/>
      <w:footerReference r:id="rId7" w:type="default"/>
      <w:pgSz w:w="11906" w:h="16838"/>
      <w:pgMar w:top="1440" w:right="1558" w:bottom="1440"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zh-CN" w:eastAsia="zh-CN" w:bidi="ar-SA"/>
      </w:rPr>
      <w:t>2</w:t>
    </w:r>
    <w:r>
      <w:rPr>
        <w:rFonts w:ascii="Calibri" w:hAnsi="Calibri" w:eastAsia="宋体" w:cs="Times New Roman"/>
        <w:kern w:val="2"/>
        <w:sz w:val="18"/>
        <w:szCs w:val="18"/>
        <w:lang w:val="zh-CN" w:eastAsia="zh-CN" w:bidi="ar-SA"/>
      </w:rPr>
      <w:fldChar w:fldCharType="end"/>
    </w:r>
  </w:p>
  <w:p>
    <w:pPr>
      <w:widowControl w:val="0"/>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60AC"/>
    <w:multiLevelType w:val="singleLevel"/>
    <w:tmpl w:val="2A4660A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93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rPr>
  </w:style>
  <w:style w:type="paragraph" w:styleId="3">
    <w:name w:val="heading 1"/>
    <w:basedOn w:val="1"/>
    <w:next w:val="1"/>
    <w:link w:val="9"/>
    <w:qFormat/>
    <w:uiPriority w:val="0"/>
    <w:pPr>
      <w:keepNext/>
      <w:keepLines/>
      <w:tabs>
        <w:tab w:val="left" w:pos="425"/>
      </w:tabs>
      <w:spacing w:before="340" w:after="330" w:line="360" w:lineRule="auto"/>
      <w:ind w:left="425" w:hanging="425"/>
      <w:jc w:val="center"/>
      <w:outlineLvl w:val="0"/>
    </w:pPr>
    <w:rPr>
      <w:rFonts w:ascii="宋体" w:hAnsi="宋体"/>
      <w:b/>
      <w:bCs/>
      <w:color w:val="000000"/>
      <w:kern w:val="44"/>
      <w:sz w:val="36"/>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character" w:customStyle="1" w:styleId="9">
    <w:name w:val="标题 1 Char"/>
    <w:link w:val="3"/>
    <w:qFormat/>
    <w:uiPriority w:val="0"/>
    <w:rPr>
      <w:rFonts w:ascii="宋体" w:hAnsi="宋体"/>
      <w:b/>
      <w:bCs/>
      <w:color w:val="000000"/>
      <w:kern w:val="44"/>
      <w:sz w:val="36"/>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kefira</cp:lastModifiedBy>
  <dcterms:modified xsi:type="dcterms:W3CDTF">2019-10-22T09:28:37Z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